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2018年度单位整体支出预算绩效自评报告</w:t>
      </w:r>
    </w:p>
    <w:p>
      <w:pPr>
        <w:spacing w:line="600" w:lineRule="exact"/>
        <w:jc w:val="center"/>
        <w:rPr>
          <w:rFonts w:ascii="Times New Roman" w:hAnsi="Times New Roman" w:eastAsia="方正小标宋简体"/>
          <w:sz w:val="36"/>
          <w:szCs w:val="36"/>
        </w:rPr>
      </w:pPr>
    </w:p>
    <w:p>
      <w:pPr>
        <w:widowControl/>
        <w:spacing w:line="600" w:lineRule="exact"/>
        <w:ind w:firstLine="588" w:firstLineChars="196"/>
        <w:jc w:val="left"/>
        <w:rPr>
          <w:rFonts w:eastAsia="黑体"/>
          <w:bCs/>
          <w:kern w:val="0"/>
        </w:rPr>
      </w:pPr>
      <w:r>
        <w:rPr>
          <w:rFonts w:ascii="Times New Roman" w:hAnsi="Times New Roman" w:eastAsia="黑体"/>
          <w:sz w:val="30"/>
        </w:rPr>
        <w:t>一、单位基本情况</w:t>
      </w:r>
    </w:p>
    <w:p>
      <w:pPr>
        <w:widowControl/>
        <w:spacing w:line="600" w:lineRule="exact"/>
        <w:ind w:firstLine="548" w:firstLineChars="196"/>
        <w:jc w:val="left"/>
        <w:rPr>
          <w:rFonts w:hAnsi="仿宋" w:cs="仿宋"/>
          <w:sz w:val="28"/>
          <w:szCs w:val="28"/>
        </w:rPr>
      </w:pPr>
      <w:r>
        <w:rPr>
          <w:rFonts w:hint="eastAsia" w:hAnsi="仿宋" w:cs="仿宋"/>
          <w:sz w:val="28"/>
          <w:szCs w:val="28"/>
        </w:rPr>
        <w:t>（一）</w:t>
      </w:r>
      <w:r>
        <w:rPr>
          <w:rFonts w:hAnsi="仿宋" w:cs="仿宋"/>
          <w:sz w:val="28"/>
          <w:szCs w:val="28"/>
        </w:rPr>
        <w:t>职能职责</w:t>
      </w:r>
    </w:p>
    <w:p>
      <w:pPr>
        <w:spacing w:line="560" w:lineRule="exact"/>
        <w:ind w:firstLine="560" w:firstLineChars="200"/>
        <w:rPr>
          <w:rFonts w:hAnsi="仿宋" w:cs="仿宋"/>
          <w:sz w:val="28"/>
          <w:szCs w:val="28"/>
        </w:rPr>
      </w:pPr>
      <w:r>
        <w:rPr>
          <w:rFonts w:hAnsi="仿宋" w:cs="仿宋"/>
          <w:sz w:val="28"/>
          <w:szCs w:val="28"/>
        </w:rPr>
        <w:t>1、参与环卫工程设施规划设计的审查；负责组织环卫行业发展规划的拟制(修订)、评审及其产业政策实施计划的拟订、报批和组织实施；参与环境综合整治和创建卫生城市的工程。</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2、负责组织与管理市容环卫工程设施的改(扩)建、配套设施建设和上级下达的新建环卫工程设施建设；负责制订市容环卫工程设施建设的技术标准，保证工程施工的质量、进度与安全，并监督执行和组织验收；组织市容环卫工程设施设备综合管理及整修(维修)保护；负责环卫科研与环卫新技术的推广、应用与引进工作。</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3、负责市容环卫监督管理工作；负责环卫工作社会从业的资质审批、合同审签和行业管理。</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4、负责市容环卫管理与服务；负责制订市容环卫行业工作标准，负责全区主次街道、公共部位的清扫、垃圾清运，负责管理、报批与组织收取市容环卫管理有关规费。</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5、指导区街镇市容环卫和企业厂容环卫设施建设与行业管理工作，促进市容环卫事业的发展。</w:t>
      </w:r>
      <w:r>
        <w:rPr>
          <w:rFonts w:hint="eastAsia" w:ascii="宋体" w:hAnsi="宋体" w:cs="宋体"/>
          <w:sz w:val="28"/>
          <w:szCs w:val="28"/>
        </w:rPr>
        <w:t> </w:t>
      </w:r>
    </w:p>
    <w:p>
      <w:pPr>
        <w:spacing w:line="560" w:lineRule="exact"/>
        <w:ind w:firstLine="560" w:firstLineChars="200"/>
        <w:rPr>
          <w:rFonts w:hAnsi="仿宋" w:cs="仿宋"/>
          <w:sz w:val="28"/>
          <w:szCs w:val="28"/>
        </w:rPr>
      </w:pPr>
      <w:r>
        <w:rPr>
          <w:rFonts w:hAnsi="仿宋" w:cs="仿宋"/>
          <w:sz w:val="28"/>
          <w:szCs w:val="28"/>
        </w:rPr>
        <w:t>6、负责本系统党务工作、劳资人事、工会、纪检监察、政治思想、宣传、教育及精神文明建设等工作。</w:t>
      </w:r>
      <w:r>
        <w:rPr>
          <w:rFonts w:hint="eastAsia" w:ascii="宋体" w:hAnsi="宋体" w:cs="宋体"/>
          <w:sz w:val="28"/>
          <w:szCs w:val="28"/>
        </w:rPr>
        <w:t> </w:t>
      </w:r>
    </w:p>
    <w:p>
      <w:pPr>
        <w:widowControl/>
        <w:spacing w:line="600" w:lineRule="exact"/>
        <w:ind w:firstLine="548" w:firstLineChars="196"/>
        <w:jc w:val="left"/>
        <w:rPr>
          <w:rFonts w:hAnsi="仿宋" w:cs="仿宋"/>
          <w:sz w:val="28"/>
          <w:szCs w:val="28"/>
        </w:rPr>
      </w:pPr>
      <w:r>
        <w:rPr>
          <w:rFonts w:hAnsi="仿宋" w:cs="仿宋"/>
          <w:sz w:val="28"/>
          <w:szCs w:val="28"/>
        </w:rPr>
        <w:t>7、承办区委、区政府及主管部门交办的其他事项。</w:t>
      </w:r>
    </w:p>
    <w:p>
      <w:pPr>
        <w:widowControl/>
        <w:spacing w:line="600" w:lineRule="exact"/>
        <w:ind w:firstLine="627" w:firstLineChars="196"/>
        <w:jc w:val="left"/>
      </w:pPr>
    </w:p>
    <w:p>
      <w:pPr>
        <w:widowControl/>
        <w:spacing w:line="600" w:lineRule="exact"/>
        <w:ind w:firstLine="627" w:firstLineChars="196"/>
        <w:jc w:val="left"/>
      </w:pPr>
      <w:r>
        <w:rPr>
          <w:rFonts w:hint="eastAsia"/>
        </w:rPr>
        <w:t>(二)</w:t>
      </w:r>
      <w:r>
        <w:t>机构设置</w:t>
      </w:r>
    </w:p>
    <w:p>
      <w:pPr>
        <w:widowControl/>
        <w:spacing w:line="600" w:lineRule="exact"/>
        <w:ind w:firstLine="548" w:firstLineChars="196"/>
        <w:jc w:val="left"/>
        <w:rPr>
          <w:rFonts w:hAnsi="仿宋" w:cs="仿宋"/>
          <w:sz w:val="28"/>
          <w:szCs w:val="28"/>
        </w:rPr>
      </w:pPr>
      <w:r>
        <w:rPr>
          <w:rFonts w:hint="eastAsia" w:hAnsi="仿宋" w:cs="仿宋"/>
          <w:sz w:val="28"/>
          <w:szCs w:val="28"/>
        </w:rPr>
        <w:t>长沙市望城区市容环境卫生维护中心的前身为市容环境卫生管理所，成立于1989年，根据2015年10月长沙市望城区委、区政府关于印发《长沙市望城区人民政府职能转变和机构改革方案的实施意见》的通知精神，长沙市望城区市容环境卫生管理所更名为长沙市望城区环卫局，独立运作的正科级事业单位。</w:t>
      </w:r>
    </w:p>
    <w:p>
      <w:pPr>
        <w:widowControl/>
        <w:spacing w:line="600" w:lineRule="exact"/>
        <w:ind w:firstLine="627" w:firstLineChars="196"/>
        <w:jc w:val="left"/>
        <w:rPr>
          <w:rFonts w:hAnsi="仿宋" w:cs="仿宋"/>
          <w:sz w:val="28"/>
          <w:szCs w:val="28"/>
        </w:rPr>
      </w:pPr>
      <w:r>
        <w:t> </w:t>
      </w:r>
      <w:r>
        <w:rPr>
          <w:rFonts w:hint="eastAsia" w:hAnsi="仿宋" w:cs="仿宋"/>
          <w:sz w:val="28"/>
          <w:szCs w:val="28"/>
        </w:rPr>
        <w:t>2018年</w:t>
      </w:r>
      <w:r>
        <w:rPr>
          <w:rFonts w:hAnsi="仿宋" w:cs="仿宋"/>
          <w:sz w:val="28"/>
          <w:szCs w:val="28"/>
        </w:rPr>
        <w:t>长沙市望城区环卫局差额事业编制３５名，现有在职在编３５人，政府雇员一名，临聘人员９名，退休职工３４名。</w:t>
      </w:r>
      <w:r>
        <w:rPr>
          <w:rFonts w:hint="eastAsia" w:hAnsi="仿宋" w:cs="仿宋"/>
          <w:sz w:val="28"/>
          <w:szCs w:val="28"/>
        </w:rPr>
        <w:t>内设6个科室分别是办公室、财务科、信息科、征缴科、市容维护科、基建设备科。</w:t>
      </w:r>
    </w:p>
    <w:p>
      <w:pPr>
        <w:spacing w:line="600" w:lineRule="exact"/>
        <w:ind w:firstLine="600" w:firstLineChars="200"/>
        <w:rPr>
          <w:rFonts w:ascii="Times New Roman" w:hAnsi="Times New Roman" w:eastAsia="黑体"/>
          <w:sz w:val="30"/>
        </w:rPr>
      </w:pPr>
      <w:r>
        <w:rPr>
          <w:rFonts w:ascii="Times New Roman" w:hAnsi="Times New Roman" w:eastAsia="黑体"/>
          <w:sz w:val="30"/>
        </w:rPr>
        <w:t>二、部门（单位）预算管理及执行情况</w:t>
      </w:r>
    </w:p>
    <w:p>
      <w:pPr>
        <w:snapToGrid w:val="0"/>
        <w:spacing w:line="520" w:lineRule="exact"/>
        <w:ind w:firstLine="643" w:firstLineChars="200"/>
        <w:rPr>
          <w:rFonts w:ascii="楷体_GB2312" w:hAnsi="仿宋" w:eastAsia="楷体_GB2312"/>
          <w:b/>
        </w:rPr>
      </w:pPr>
      <w:r>
        <w:rPr>
          <w:rFonts w:hint="eastAsia" w:ascii="楷体_GB2312" w:hAnsi="仿宋" w:eastAsia="楷体_GB2312"/>
          <w:b/>
        </w:rPr>
        <w:t>（一）收入支出预算安排情况。</w:t>
      </w:r>
    </w:p>
    <w:p>
      <w:pPr>
        <w:snapToGrid w:val="0"/>
        <w:spacing w:line="520" w:lineRule="exact"/>
        <w:ind w:firstLine="560" w:firstLineChars="200"/>
        <w:rPr>
          <w:rFonts w:hAnsi="仿宋"/>
          <w:sz w:val="28"/>
          <w:szCs w:val="28"/>
        </w:rPr>
      </w:pPr>
      <w:r>
        <w:rPr>
          <w:rFonts w:hint="eastAsia" w:hAnsi="仿宋"/>
          <w:sz w:val="28"/>
          <w:szCs w:val="28"/>
        </w:rPr>
        <w:t>本年单位预算收入11651.87万元，其中财政拨款11586.5万元，事业性收费收入65.37万元；支出年初预算基本支出651.87万元，项目支出11000万元。</w:t>
      </w:r>
    </w:p>
    <w:p>
      <w:pPr>
        <w:snapToGrid w:val="0"/>
        <w:spacing w:line="520" w:lineRule="exact"/>
        <w:ind w:firstLine="560" w:firstLineChars="200"/>
        <w:rPr>
          <w:rFonts w:hAnsi="仿宋"/>
          <w:sz w:val="28"/>
          <w:szCs w:val="28"/>
        </w:rPr>
      </w:pPr>
      <w:r>
        <w:rPr>
          <w:rFonts w:hint="eastAsia" w:hAnsi="仿宋"/>
          <w:sz w:val="28"/>
          <w:szCs w:val="28"/>
        </w:rPr>
        <w:t>对比上年预算收入增加2380.82万元，支出年初预算基本支出增加19.82万元，增加原因：工资福利支出增加；项目支出增加2361万元，增加原因：城区楼盘增多，新建道路等，环卫清扫专项相应增加,垃圾转运专项相应增加。</w:t>
      </w:r>
    </w:p>
    <w:p>
      <w:pPr>
        <w:snapToGrid w:val="0"/>
        <w:spacing w:line="520" w:lineRule="exact"/>
        <w:ind w:firstLine="643" w:firstLineChars="200"/>
        <w:rPr>
          <w:rFonts w:ascii="楷体_GB2312" w:hAnsi="仿宋" w:eastAsia="楷体_GB2312"/>
          <w:b/>
        </w:rPr>
      </w:pPr>
      <w:r>
        <w:rPr>
          <w:rFonts w:hint="eastAsia" w:ascii="楷体_GB2312" w:hAnsi="仿宋" w:eastAsia="楷体_GB2312"/>
          <w:b/>
        </w:rPr>
        <w:t>（二）收入支出预算执行情况。</w:t>
      </w:r>
    </w:p>
    <w:p>
      <w:pPr>
        <w:snapToGrid w:val="0"/>
        <w:spacing w:line="520" w:lineRule="exact"/>
        <w:ind w:firstLine="643" w:firstLineChars="200"/>
        <w:rPr>
          <w:rFonts w:hAnsi="仿宋"/>
          <w:b/>
        </w:rPr>
      </w:pPr>
      <w:r>
        <w:rPr>
          <w:rFonts w:hint="eastAsia" w:hAnsi="仿宋"/>
          <w:b/>
        </w:rPr>
        <w:t>1、收入支出与预算对比分析。</w:t>
      </w:r>
    </w:p>
    <w:tbl>
      <w:tblPr>
        <w:tblStyle w:val="7"/>
        <w:tblpPr w:leftFromText="180" w:rightFromText="180" w:vertAnchor="text" w:horzAnchor="margin" w:tblpY="210"/>
        <w:tblW w:w="0" w:type="auto"/>
        <w:tblInd w:w="0" w:type="dxa"/>
        <w:shd w:val="clear" w:color="auto" w:fill="FFFFFF"/>
        <w:tblLayout w:type="fixed"/>
        <w:tblCellMar>
          <w:top w:w="0" w:type="dxa"/>
          <w:left w:w="0" w:type="dxa"/>
          <w:bottom w:w="0" w:type="dxa"/>
          <w:right w:w="0" w:type="dxa"/>
        </w:tblCellMar>
      </w:tblPr>
      <w:tblGrid>
        <w:gridCol w:w="3600"/>
        <w:gridCol w:w="2340"/>
        <w:gridCol w:w="2520"/>
      </w:tblGrid>
      <w:tr>
        <w:tblPrEx>
          <w:shd w:val="clear" w:color="auto" w:fill="FFFFFF"/>
          <w:tblCellMar>
            <w:top w:w="0" w:type="dxa"/>
            <w:left w:w="0" w:type="dxa"/>
            <w:bottom w:w="0" w:type="dxa"/>
            <w:right w:w="0" w:type="dxa"/>
          </w:tblCellMar>
        </w:tblPrEx>
        <w:trPr>
          <w:trHeight w:val="375" w:hRule="atLeast"/>
        </w:trPr>
        <w:tc>
          <w:tcPr>
            <w:tcW w:w="360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项</w:t>
            </w:r>
            <w:r>
              <w:rPr>
                <w:rFonts w:hint="eastAsia" w:ascii="宋体" w:hAnsi="宋体"/>
                <w:color w:val="333333"/>
                <w:kern w:val="0"/>
                <w:sz w:val="28"/>
                <w:szCs w:val="28"/>
              </w:rPr>
              <w:t>     </w:t>
            </w:r>
            <w:r>
              <w:rPr>
                <w:rFonts w:hint="eastAsia" w:ascii="楷体_GB2312" w:eastAsia="楷体_GB2312"/>
                <w:color w:val="333333"/>
                <w:kern w:val="0"/>
                <w:sz w:val="28"/>
                <w:szCs w:val="28"/>
              </w:rPr>
              <w:t>目</w:t>
            </w:r>
          </w:p>
        </w:tc>
        <w:tc>
          <w:tcPr>
            <w:tcW w:w="2340" w:type="dxa"/>
            <w:tcBorders>
              <w:top w:val="single" w:color="auto"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预算数（万元）</w:t>
            </w:r>
          </w:p>
        </w:tc>
        <w:tc>
          <w:tcPr>
            <w:tcW w:w="2520" w:type="dxa"/>
            <w:tcBorders>
              <w:top w:val="single" w:color="auto"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决算支出数（万元）</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一、基本支出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651.87</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ind w:firstLine="735"/>
              <w:jc w:val="left"/>
              <w:rPr>
                <w:color w:val="333333"/>
                <w:kern w:val="0"/>
                <w:sz w:val="28"/>
                <w:szCs w:val="28"/>
              </w:rPr>
            </w:pPr>
            <w:r>
              <w:rPr>
                <w:rFonts w:hint="eastAsia"/>
                <w:color w:val="333333"/>
                <w:kern w:val="0"/>
                <w:sz w:val="28"/>
                <w:szCs w:val="28"/>
              </w:rPr>
              <w:t>907.16</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其中：工资福利支出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533.7</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ind w:firstLine="735"/>
              <w:jc w:val="left"/>
              <w:rPr>
                <w:color w:val="333333"/>
                <w:kern w:val="0"/>
                <w:sz w:val="28"/>
                <w:szCs w:val="28"/>
              </w:rPr>
            </w:pPr>
            <w:r>
              <w:rPr>
                <w:rFonts w:hint="eastAsia"/>
                <w:color w:val="333333"/>
                <w:kern w:val="0"/>
                <w:sz w:val="28"/>
                <w:szCs w:val="28"/>
              </w:rPr>
              <w:t>629.25</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对个人和家庭的补助支出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65.37</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color w:val="333333"/>
                <w:kern w:val="0"/>
                <w:sz w:val="28"/>
                <w:szCs w:val="28"/>
              </w:rPr>
              <w:t>126.84</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商品和服务支出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555" w:lineRule="atLeast"/>
              <w:jc w:val="center"/>
              <w:rPr>
                <w:color w:val="333333"/>
                <w:kern w:val="0"/>
                <w:sz w:val="28"/>
                <w:szCs w:val="28"/>
              </w:rPr>
            </w:pPr>
            <w:r>
              <w:rPr>
                <w:rFonts w:hint="eastAsia"/>
                <w:color w:val="333333"/>
                <w:kern w:val="0"/>
                <w:sz w:val="28"/>
                <w:szCs w:val="28"/>
              </w:rPr>
              <w:t>52.8</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color w:val="333333"/>
                <w:kern w:val="0"/>
                <w:sz w:val="28"/>
                <w:szCs w:val="28"/>
              </w:rPr>
              <w:t>151.07</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对企事业单位补助</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wordWrap w:val="0"/>
              <w:spacing w:line="555" w:lineRule="atLeast"/>
              <w:jc w:val="center"/>
              <w:rPr>
                <w:rFonts w:ascii="楷体_GB2312" w:eastAsia="楷体_GB2312"/>
                <w:color w:val="333333"/>
                <w:kern w:val="0"/>
                <w:sz w:val="28"/>
                <w:szCs w:val="28"/>
              </w:rPr>
            </w:pP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二、项目支出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ascii="楷体_GB2312" w:eastAsia="楷体_GB2312"/>
                <w:color w:val="333333"/>
                <w:kern w:val="0"/>
                <w:sz w:val="28"/>
                <w:szCs w:val="28"/>
              </w:rPr>
              <w:t>1</w:t>
            </w:r>
            <w:r>
              <w:rPr>
                <w:rFonts w:hint="eastAsia" w:ascii="楷体_GB2312" w:eastAsia="楷体_GB2312"/>
                <w:color w:val="333333"/>
                <w:kern w:val="0"/>
                <w:sz w:val="28"/>
                <w:szCs w:val="28"/>
              </w:rPr>
              <w:t>1000</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9902.69</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其中：商品和服务支出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ascii="楷体_GB2312" w:eastAsia="楷体_GB2312"/>
                <w:color w:val="333333"/>
                <w:kern w:val="0"/>
                <w:sz w:val="28"/>
                <w:szCs w:val="28"/>
              </w:rPr>
              <w:t>1</w:t>
            </w:r>
            <w:r>
              <w:rPr>
                <w:rFonts w:hint="eastAsia" w:ascii="楷体_GB2312" w:eastAsia="楷体_GB2312"/>
                <w:color w:val="333333"/>
                <w:kern w:val="0"/>
                <w:sz w:val="28"/>
                <w:szCs w:val="28"/>
              </w:rPr>
              <w:t>1000</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9902.69</w:t>
            </w: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ascii="楷体_GB2312" w:eastAsia="楷体_GB2312"/>
                <w:color w:val="333333"/>
                <w:kern w:val="0"/>
                <w:sz w:val="28"/>
                <w:szCs w:val="28"/>
              </w:rPr>
              <w:t>其他资本性支出</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p>
        </w:tc>
      </w:tr>
      <w:tr>
        <w:tblPrEx>
          <w:tblCellMar>
            <w:top w:w="0" w:type="dxa"/>
            <w:left w:w="0" w:type="dxa"/>
            <w:bottom w:w="0" w:type="dxa"/>
            <w:right w:w="0" w:type="dxa"/>
          </w:tblCellMar>
        </w:tblPrEx>
        <w:trPr>
          <w:trHeight w:val="375" w:hRule="atLeast"/>
        </w:trPr>
        <w:tc>
          <w:tcPr>
            <w:tcW w:w="3600" w:type="dxa"/>
            <w:tcBorders>
              <w:top w:val="single" w:color="F0F0F0"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color w:val="333333"/>
                <w:kern w:val="0"/>
                <w:sz w:val="28"/>
                <w:szCs w:val="28"/>
              </w:rPr>
            </w:pPr>
            <w:r>
              <w:rPr>
                <w:rFonts w:hint="eastAsia" w:ascii="楷体_GB2312" w:eastAsia="楷体_GB2312"/>
                <w:color w:val="333333"/>
                <w:kern w:val="0"/>
                <w:sz w:val="28"/>
                <w:szCs w:val="28"/>
              </w:rPr>
              <w:t>　合</w:t>
            </w:r>
            <w:r>
              <w:rPr>
                <w:rFonts w:hint="eastAsia" w:ascii="宋体" w:hAnsi="宋体"/>
                <w:color w:val="333333"/>
                <w:kern w:val="0"/>
                <w:sz w:val="28"/>
                <w:szCs w:val="28"/>
              </w:rPr>
              <w:t>   </w:t>
            </w:r>
            <w:r>
              <w:rPr>
                <w:rFonts w:hint="eastAsia" w:ascii="楷体_GB2312" w:eastAsia="楷体_GB2312"/>
                <w:color w:val="333333"/>
                <w:kern w:val="0"/>
                <w:sz w:val="28"/>
                <w:szCs w:val="28"/>
              </w:rPr>
              <w:t>计</w:t>
            </w:r>
          </w:p>
        </w:tc>
        <w:tc>
          <w:tcPr>
            <w:tcW w:w="234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11651.87</w:t>
            </w:r>
          </w:p>
        </w:tc>
        <w:tc>
          <w:tcPr>
            <w:tcW w:w="2520" w:type="dxa"/>
            <w:tcBorders>
              <w:top w:val="single" w:color="F0F0F0" w:sz="6" w:space="0"/>
              <w:left w:val="single" w:color="F0F0F0" w:sz="6" w:space="0"/>
              <w:bottom w:val="single" w:color="auto" w:sz="6" w:space="0"/>
              <w:right w:val="single" w:color="auto" w:sz="6" w:space="0"/>
            </w:tcBorders>
            <w:shd w:val="clear" w:color="auto" w:fill="FFFFFF"/>
            <w:tcMar>
              <w:top w:w="0" w:type="dxa"/>
              <w:left w:w="105" w:type="dxa"/>
              <w:bottom w:w="0" w:type="dxa"/>
              <w:right w:w="105" w:type="dxa"/>
            </w:tcMar>
            <w:vAlign w:val="center"/>
          </w:tcPr>
          <w:p>
            <w:pPr>
              <w:widowControl/>
              <w:spacing w:line="555" w:lineRule="atLeast"/>
              <w:jc w:val="center"/>
              <w:rPr>
                <w:rFonts w:ascii="楷体_GB2312" w:eastAsia="楷体_GB2312"/>
                <w:color w:val="333333"/>
                <w:kern w:val="0"/>
                <w:sz w:val="28"/>
                <w:szCs w:val="28"/>
              </w:rPr>
            </w:pPr>
            <w:r>
              <w:rPr>
                <w:rFonts w:hint="eastAsia" w:hAnsi="仿宋"/>
                <w:sz w:val="28"/>
                <w:szCs w:val="28"/>
              </w:rPr>
              <w:t>10809.85</w:t>
            </w:r>
          </w:p>
        </w:tc>
      </w:tr>
    </w:tbl>
    <w:p>
      <w:pPr>
        <w:snapToGrid w:val="0"/>
        <w:spacing w:line="520" w:lineRule="exact"/>
        <w:ind w:firstLine="560" w:firstLineChars="200"/>
        <w:rPr>
          <w:rFonts w:hAnsi="仿宋"/>
          <w:sz w:val="28"/>
          <w:szCs w:val="28"/>
        </w:rPr>
      </w:pPr>
    </w:p>
    <w:p>
      <w:pPr>
        <w:snapToGrid w:val="0"/>
        <w:spacing w:line="520" w:lineRule="exact"/>
        <w:ind w:firstLine="560" w:firstLineChars="200"/>
        <w:rPr>
          <w:rFonts w:hAnsi="仿宋"/>
          <w:sz w:val="28"/>
          <w:szCs w:val="28"/>
        </w:rPr>
      </w:pPr>
      <w:r>
        <w:rPr>
          <w:rFonts w:hint="eastAsia" w:hAnsi="仿宋"/>
          <w:sz w:val="28"/>
          <w:szCs w:val="28"/>
        </w:rPr>
        <w:t>2、</w:t>
      </w:r>
      <w:r>
        <w:rPr>
          <w:rFonts w:hint="eastAsia" w:hAnsi="仿宋"/>
          <w:b/>
          <w:sz w:val="28"/>
          <w:szCs w:val="28"/>
        </w:rPr>
        <w:t>差异原因分析。</w:t>
      </w:r>
      <w:r>
        <w:rPr>
          <w:rFonts w:hint="eastAsia" w:hAnsi="仿宋"/>
          <w:sz w:val="28"/>
          <w:szCs w:val="28"/>
        </w:rPr>
        <w:t>基本支出中商品和服务支出决算比预算增加98.27万元，主要原因是专用燃料费和劳务费增加，专用燃料费为蓝天保卫战车辆用油；劳务费为劳务派遣人员支出。</w:t>
      </w:r>
    </w:p>
    <w:p>
      <w:pPr>
        <w:snapToGrid w:val="0"/>
        <w:spacing w:line="520" w:lineRule="exact"/>
        <w:ind w:firstLine="560" w:firstLineChars="200"/>
        <w:rPr>
          <w:rFonts w:hAnsi="仿宋"/>
          <w:sz w:val="28"/>
          <w:szCs w:val="28"/>
        </w:rPr>
      </w:pPr>
      <w:r>
        <w:rPr>
          <w:rFonts w:hint="eastAsia" w:hAnsi="仿宋"/>
          <w:sz w:val="28"/>
          <w:szCs w:val="28"/>
        </w:rPr>
        <w:t>项目支出决算比预算减少1097.31万元，主要原因是新增道路委托业务费暂未支付。</w:t>
      </w:r>
    </w:p>
    <w:p>
      <w:pPr>
        <w:snapToGrid w:val="0"/>
        <w:spacing w:line="520" w:lineRule="exact"/>
        <w:ind w:firstLine="640" w:firstLineChars="200"/>
        <w:rPr>
          <w:rFonts w:hAnsi="仿宋"/>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三、</w:t>
      </w:r>
      <w:r>
        <w:rPr>
          <w:rFonts w:ascii="Times New Roman" w:hAnsi="Times New Roman" w:eastAsia="黑体"/>
          <w:sz w:val="30"/>
        </w:rPr>
        <w:t>单位</w:t>
      </w:r>
      <w:r>
        <w:rPr>
          <w:rFonts w:hint="eastAsia" w:ascii="Times New Roman" w:hAnsi="Times New Roman" w:eastAsia="黑体"/>
          <w:sz w:val="30"/>
        </w:rPr>
        <w:t>资产管理情况</w:t>
      </w:r>
    </w:p>
    <w:p>
      <w:pPr>
        <w:ind w:firstLine="630" w:firstLineChars="225"/>
        <w:rPr>
          <w:sz w:val="28"/>
          <w:szCs w:val="28"/>
        </w:rPr>
      </w:pPr>
      <w:r>
        <w:rPr>
          <w:rFonts w:hint="eastAsia" w:hAnsi="宋体" w:cs="宋体"/>
          <w:sz w:val="28"/>
          <w:szCs w:val="28"/>
        </w:rPr>
        <w:t>年末单位资产总计</w:t>
      </w:r>
      <w:r>
        <w:rPr>
          <w:rFonts w:hAnsi="宋体" w:cs="宋体"/>
          <w:sz w:val="28"/>
          <w:szCs w:val="28"/>
        </w:rPr>
        <w:t>795.8</w:t>
      </w:r>
      <w:r>
        <w:rPr>
          <w:rFonts w:hint="eastAsia" w:hAnsi="宋体" w:cs="宋体"/>
          <w:sz w:val="28"/>
          <w:szCs w:val="28"/>
        </w:rPr>
        <w:t>万元，其中流动资产</w:t>
      </w:r>
      <w:r>
        <w:rPr>
          <w:rFonts w:hAnsi="宋体" w:cs="宋体"/>
          <w:sz w:val="28"/>
          <w:szCs w:val="28"/>
        </w:rPr>
        <w:t>123.85</w:t>
      </w:r>
      <w:r>
        <w:rPr>
          <w:rFonts w:hint="eastAsia" w:hAnsi="宋体" w:cs="宋体"/>
          <w:sz w:val="28"/>
          <w:szCs w:val="28"/>
        </w:rPr>
        <w:t>万元，固定资产639.39万元，无形资产32.56万元，在建工程为0。</w:t>
      </w:r>
      <w:r>
        <w:rPr>
          <w:rFonts w:hint="eastAsia"/>
          <w:sz w:val="28"/>
          <w:szCs w:val="28"/>
        </w:rPr>
        <w:t>资产构成占资产总额比例情况如下表：</w:t>
      </w:r>
    </w:p>
    <w:p>
      <w:pPr>
        <w:ind w:firstLine="630" w:firstLineChars="225"/>
        <w:rPr>
          <w:sz w:val="28"/>
          <w:szCs w:val="28"/>
        </w:rPr>
      </w:pPr>
    </w:p>
    <w:tbl>
      <w:tblPr>
        <w:tblStyle w:val="8"/>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57"/>
        <w:gridCol w:w="1758"/>
        <w:gridCol w:w="1758"/>
        <w:gridCol w:w="1758"/>
        <w:gridCol w:w="168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57" w:type="dxa"/>
            <w:vAlign w:val="center"/>
          </w:tcPr>
          <w:p>
            <w:pPr>
              <w:jc w:val="center"/>
              <w:rPr>
                <w:szCs w:val="21"/>
              </w:rPr>
            </w:pPr>
            <w:r>
              <w:rPr>
                <w:rFonts w:hint="eastAsia"/>
                <w:szCs w:val="21"/>
              </w:rPr>
              <w:t>资产构成</w:t>
            </w:r>
          </w:p>
        </w:tc>
        <w:tc>
          <w:tcPr>
            <w:tcW w:w="1758" w:type="dxa"/>
            <w:vAlign w:val="center"/>
          </w:tcPr>
          <w:p>
            <w:pPr>
              <w:jc w:val="center"/>
              <w:rPr>
                <w:szCs w:val="21"/>
              </w:rPr>
            </w:pPr>
            <w:r>
              <w:rPr>
                <w:rFonts w:hint="eastAsia"/>
                <w:szCs w:val="21"/>
              </w:rPr>
              <w:t>流动资产</w:t>
            </w:r>
          </w:p>
        </w:tc>
        <w:tc>
          <w:tcPr>
            <w:tcW w:w="1758" w:type="dxa"/>
            <w:vAlign w:val="center"/>
          </w:tcPr>
          <w:p>
            <w:pPr>
              <w:jc w:val="center"/>
              <w:rPr>
                <w:szCs w:val="21"/>
              </w:rPr>
            </w:pPr>
            <w:r>
              <w:rPr>
                <w:rFonts w:hint="eastAsia"/>
                <w:szCs w:val="21"/>
              </w:rPr>
              <w:t>固定资产</w:t>
            </w:r>
          </w:p>
        </w:tc>
        <w:tc>
          <w:tcPr>
            <w:tcW w:w="1758" w:type="dxa"/>
            <w:vAlign w:val="center"/>
          </w:tcPr>
          <w:p>
            <w:pPr>
              <w:jc w:val="center"/>
              <w:rPr>
                <w:szCs w:val="21"/>
              </w:rPr>
            </w:pPr>
            <w:r>
              <w:rPr>
                <w:rFonts w:hint="eastAsia"/>
                <w:szCs w:val="21"/>
              </w:rPr>
              <w:t>无形资产</w:t>
            </w:r>
          </w:p>
        </w:tc>
        <w:tc>
          <w:tcPr>
            <w:tcW w:w="1689" w:type="dxa"/>
            <w:vAlign w:val="center"/>
          </w:tcPr>
          <w:p>
            <w:pPr>
              <w:jc w:val="center"/>
              <w:rPr>
                <w:szCs w:val="21"/>
              </w:rPr>
            </w:pPr>
            <w:r>
              <w:rPr>
                <w:rFonts w:hint="eastAsia"/>
                <w:szCs w:val="21"/>
              </w:rPr>
              <w:t>在建工程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757" w:type="dxa"/>
            <w:vAlign w:val="center"/>
          </w:tcPr>
          <w:p>
            <w:pPr>
              <w:jc w:val="center"/>
              <w:rPr>
                <w:szCs w:val="21"/>
              </w:rPr>
            </w:pPr>
            <w:r>
              <w:rPr>
                <w:rFonts w:hint="eastAsia"/>
                <w:szCs w:val="21"/>
              </w:rPr>
              <w:t>占资产总额比例</w:t>
            </w:r>
          </w:p>
        </w:tc>
        <w:tc>
          <w:tcPr>
            <w:tcW w:w="1758" w:type="dxa"/>
            <w:vAlign w:val="center"/>
          </w:tcPr>
          <w:p>
            <w:pPr>
              <w:jc w:val="center"/>
              <w:rPr>
                <w:szCs w:val="21"/>
              </w:rPr>
            </w:pPr>
            <w:r>
              <w:rPr>
                <w:rFonts w:hint="eastAsia"/>
                <w:szCs w:val="21"/>
              </w:rPr>
              <w:t>15.56%</w:t>
            </w:r>
          </w:p>
        </w:tc>
        <w:tc>
          <w:tcPr>
            <w:tcW w:w="1758" w:type="dxa"/>
            <w:vAlign w:val="center"/>
          </w:tcPr>
          <w:p>
            <w:pPr>
              <w:jc w:val="center"/>
              <w:rPr>
                <w:szCs w:val="21"/>
              </w:rPr>
            </w:pPr>
            <w:r>
              <w:rPr>
                <w:rFonts w:hint="eastAsia"/>
                <w:szCs w:val="21"/>
              </w:rPr>
              <w:t>80.35%</w:t>
            </w:r>
          </w:p>
        </w:tc>
        <w:tc>
          <w:tcPr>
            <w:tcW w:w="1758" w:type="dxa"/>
            <w:vAlign w:val="center"/>
          </w:tcPr>
          <w:p>
            <w:pPr>
              <w:jc w:val="center"/>
              <w:rPr>
                <w:szCs w:val="21"/>
              </w:rPr>
            </w:pPr>
            <w:r>
              <w:rPr>
                <w:rFonts w:hint="eastAsia"/>
                <w:szCs w:val="21"/>
              </w:rPr>
              <w:t>4.09%</w:t>
            </w:r>
          </w:p>
        </w:tc>
        <w:tc>
          <w:tcPr>
            <w:tcW w:w="1689" w:type="dxa"/>
            <w:vAlign w:val="center"/>
          </w:tcPr>
          <w:p>
            <w:pPr>
              <w:jc w:val="center"/>
              <w:rPr>
                <w:szCs w:val="21"/>
              </w:rPr>
            </w:pPr>
            <w:r>
              <w:rPr>
                <w:rFonts w:hint="eastAsia"/>
                <w:szCs w:val="21"/>
              </w:rPr>
              <w:t>0</w:t>
            </w:r>
          </w:p>
        </w:tc>
      </w:tr>
    </w:tbl>
    <w:p>
      <w:pPr>
        <w:tabs>
          <w:tab w:val="left" w:pos="8595"/>
        </w:tabs>
        <w:ind w:firstLine="560" w:firstLineChars="200"/>
        <w:rPr>
          <w:sz w:val="28"/>
          <w:szCs w:val="28"/>
        </w:rPr>
      </w:pPr>
    </w:p>
    <w:p>
      <w:pPr>
        <w:tabs>
          <w:tab w:val="left" w:pos="8595"/>
        </w:tabs>
        <w:ind w:firstLine="560" w:firstLineChars="200"/>
        <w:rPr>
          <w:sz w:val="28"/>
          <w:szCs w:val="28"/>
        </w:rPr>
      </w:pPr>
      <w:r>
        <w:rPr>
          <w:rFonts w:hint="eastAsia"/>
          <w:sz w:val="28"/>
          <w:szCs w:val="28"/>
        </w:rPr>
        <w:t>严格按上级文件望财国资【2018】33号要求进行资产配置，保障单位日常办公运行，资产得到有效充分使用 。没有增值的资产，房屋及构筑物老旧，不具有保值的效益，唯一的无形资产土地具有保值效益。</w:t>
      </w:r>
    </w:p>
    <w:p>
      <w:pPr>
        <w:spacing w:line="600" w:lineRule="exact"/>
        <w:ind w:firstLine="560" w:firstLineChars="200"/>
        <w:rPr>
          <w:sz w:val="28"/>
          <w:szCs w:val="28"/>
        </w:rPr>
      </w:pPr>
      <w:r>
        <w:rPr>
          <w:rFonts w:hint="eastAsia"/>
          <w:sz w:val="28"/>
          <w:szCs w:val="28"/>
        </w:rPr>
        <w:t>总资产增长率13.38%，固定资产增长率19.26%，无形资产增长率为0，人均占有大型设备数量为0、有土地证的土地面积占土地总面积比100%。</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四</w:t>
      </w:r>
      <w:r>
        <w:rPr>
          <w:rFonts w:ascii="Times New Roman" w:hAnsi="Times New Roman" w:eastAsia="黑体"/>
          <w:sz w:val="30"/>
        </w:rPr>
        <w:t>、单位整体支出绩效目标及开展情况</w:t>
      </w:r>
    </w:p>
    <w:tbl>
      <w:tblPr>
        <w:tblStyle w:val="7"/>
        <w:tblW w:w="9944" w:type="dxa"/>
        <w:tblInd w:w="-162" w:type="dxa"/>
        <w:tblLayout w:type="fixed"/>
        <w:tblCellMar>
          <w:top w:w="0" w:type="dxa"/>
          <w:left w:w="108" w:type="dxa"/>
          <w:bottom w:w="0" w:type="dxa"/>
          <w:right w:w="108" w:type="dxa"/>
        </w:tblCellMar>
      </w:tblPr>
      <w:tblGrid>
        <w:gridCol w:w="468"/>
        <w:gridCol w:w="330"/>
        <w:gridCol w:w="438"/>
        <w:gridCol w:w="330"/>
        <w:gridCol w:w="892"/>
        <w:gridCol w:w="362"/>
        <w:gridCol w:w="2281"/>
        <w:gridCol w:w="2306"/>
        <w:gridCol w:w="488"/>
        <w:gridCol w:w="2049"/>
      </w:tblGrid>
      <w:tr>
        <w:tblPrEx>
          <w:tblCellMar>
            <w:top w:w="0" w:type="dxa"/>
            <w:left w:w="108" w:type="dxa"/>
            <w:bottom w:w="0" w:type="dxa"/>
            <w:right w:w="108" w:type="dxa"/>
          </w:tblCellMar>
        </w:tblPrEx>
        <w:trPr>
          <w:trHeight w:val="527" w:hRule="atLeast"/>
          <w:tblHeader/>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一级指标</w:t>
            </w:r>
          </w:p>
        </w:tc>
        <w:tc>
          <w:tcPr>
            <w:tcW w:w="33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分值</w:t>
            </w:r>
          </w:p>
        </w:tc>
        <w:tc>
          <w:tcPr>
            <w:tcW w:w="438"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二级指标</w:t>
            </w:r>
          </w:p>
        </w:tc>
        <w:tc>
          <w:tcPr>
            <w:tcW w:w="330"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分值</w:t>
            </w:r>
          </w:p>
        </w:tc>
        <w:tc>
          <w:tcPr>
            <w:tcW w:w="89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三级</w:t>
            </w:r>
          </w:p>
          <w:p>
            <w:pPr>
              <w:widowControl/>
              <w:spacing w:line="280" w:lineRule="exact"/>
              <w:jc w:val="center"/>
              <w:rPr>
                <w:kern w:val="0"/>
                <w:sz w:val="20"/>
                <w:szCs w:val="20"/>
              </w:rPr>
            </w:pPr>
            <w:r>
              <w:rPr>
                <w:rFonts w:hint="eastAsia"/>
                <w:kern w:val="0"/>
                <w:sz w:val="20"/>
                <w:szCs w:val="20"/>
              </w:rPr>
              <w:t>指标</w:t>
            </w:r>
          </w:p>
        </w:tc>
        <w:tc>
          <w:tcPr>
            <w:tcW w:w="36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分值</w:t>
            </w:r>
          </w:p>
        </w:tc>
        <w:tc>
          <w:tcPr>
            <w:tcW w:w="2281"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评价标准</w:t>
            </w:r>
          </w:p>
        </w:tc>
        <w:tc>
          <w:tcPr>
            <w:tcW w:w="2306"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指标说明</w:t>
            </w:r>
          </w:p>
        </w:tc>
        <w:tc>
          <w:tcPr>
            <w:tcW w:w="488"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得分</w:t>
            </w:r>
          </w:p>
        </w:tc>
        <w:tc>
          <w:tcPr>
            <w:tcW w:w="2049"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得分依据</w:t>
            </w:r>
          </w:p>
        </w:tc>
      </w:tr>
      <w:tr>
        <w:tblPrEx>
          <w:tblCellMar>
            <w:top w:w="0" w:type="dxa"/>
            <w:left w:w="108" w:type="dxa"/>
            <w:bottom w:w="0" w:type="dxa"/>
            <w:right w:w="108" w:type="dxa"/>
          </w:tblCellMar>
        </w:tblPrEx>
        <w:trPr>
          <w:trHeight w:val="157" w:hRule="atLeast"/>
        </w:trPr>
        <w:tc>
          <w:tcPr>
            <w:tcW w:w="46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投入</w:t>
            </w: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kern w:val="0"/>
                <w:sz w:val="20"/>
                <w:szCs w:val="20"/>
              </w:rPr>
              <w:t>13</w:t>
            </w:r>
          </w:p>
        </w:tc>
        <w:tc>
          <w:tcPr>
            <w:tcW w:w="438" w:type="dxa"/>
            <w:vMerge w:val="restart"/>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预算配置</w:t>
            </w: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kern w:val="0"/>
                <w:sz w:val="20"/>
                <w:szCs w:val="20"/>
              </w:rPr>
              <w:t>13</w:t>
            </w: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在职人员控制率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5</w:t>
            </w:r>
          </w:p>
        </w:tc>
        <w:tc>
          <w:tcPr>
            <w:tcW w:w="2281" w:type="dxa"/>
            <w:tcBorders>
              <w:top w:val="nil"/>
              <w:left w:val="nil"/>
              <w:bottom w:val="nil"/>
              <w:right w:val="nil"/>
            </w:tcBorders>
            <w:vAlign w:val="center"/>
          </w:tcPr>
          <w:p>
            <w:pPr>
              <w:widowControl/>
              <w:spacing w:line="300" w:lineRule="exact"/>
              <w:jc w:val="left"/>
              <w:rPr>
                <w:kern w:val="0"/>
                <w:sz w:val="20"/>
                <w:szCs w:val="20"/>
              </w:rPr>
            </w:pPr>
            <w:r>
              <w:rPr>
                <w:rFonts w:hint="eastAsia"/>
                <w:kern w:val="0"/>
                <w:sz w:val="20"/>
                <w:szCs w:val="20"/>
              </w:rPr>
              <w:t>以</w:t>
            </w:r>
            <w:r>
              <w:rPr>
                <w:kern w:val="0"/>
                <w:sz w:val="20"/>
                <w:szCs w:val="20"/>
              </w:rPr>
              <w:t>100%</w:t>
            </w:r>
            <w:r>
              <w:rPr>
                <w:rFonts w:hint="eastAsia"/>
                <w:kern w:val="0"/>
                <w:sz w:val="20"/>
                <w:szCs w:val="20"/>
              </w:rPr>
              <w:t>为标准。在职人员控制率</w:t>
            </w:r>
            <w:r>
              <w:rPr>
                <w:rFonts w:hint="eastAsia" w:ascii="宋体" w:hAnsi="宋体" w:cs="宋体"/>
                <w:kern w:val="0"/>
                <w:sz w:val="20"/>
                <w:szCs w:val="20"/>
              </w:rPr>
              <w:t>≦</w:t>
            </w:r>
            <w:r>
              <w:rPr>
                <w:kern w:val="0"/>
                <w:sz w:val="20"/>
                <w:szCs w:val="20"/>
              </w:rPr>
              <w:t>100%</w:t>
            </w:r>
            <w:r>
              <w:rPr>
                <w:rFonts w:hint="eastAsia"/>
                <w:kern w:val="0"/>
                <w:sz w:val="20"/>
                <w:szCs w:val="20"/>
              </w:rPr>
              <w:t>，计</w:t>
            </w:r>
            <w:r>
              <w:rPr>
                <w:kern w:val="0"/>
                <w:sz w:val="20"/>
                <w:szCs w:val="20"/>
              </w:rPr>
              <w:t>5</w:t>
            </w:r>
            <w:r>
              <w:rPr>
                <w:rFonts w:hint="eastAsia"/>
                <w:kern w:val="0"/>
                <w:sz w:val="20"/>
                <w:szCs w:val="20"/>
              </w:rPr>
              <w:t>分；每超过一个百分点扣</w:t>
            </w:r>
            <w:r>
              <w:rPr>
                <w:kern w:val="0"/>
                <w:sz w:val="20"/>
                <w:szCs w:val="20"/>
              </w:rPr>
              <w:t>0.5</w:t>
            </w:r>
            <w:r>
              <w:rPr>
                <w:rFonts w:hint="eastAsia"/>
                <w:kern w:val="0"/>
                <w:sz w:val="20"/>
                <w:szCs w:val="20"/>
              </w:rPr>
              <w:t>分，扣完为止。</w:t>
            </w:r>
          </w:p>
        </w:tc>
        <w:tc>
          <w:tcPr>
            <w:tcW w:w="2306" w:type="dxa"/>
            <w:tcBorders>
              <w:top w:val="nil"/>
              <w:left w:val="single" w:color="auto" w:sz="4" w:space="0"/>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在职人员控制率</w:t>
            </w:r>
            <w:r>
              <w:rPr>
                <w:kern w:val="0"/>
                <w:sz w:val="20"/>
                <w:szCs w:val="20"/>
              </w:rPr>
              <w:t>=</w:t>
            </w:r>
            <w:r>
              <w:rPr>
                <w:rFonts w:hint="eastAsia"/>
                <w:kern w:val="0"/>
                <w:sz w:val="20"/>
                <w:szCs w:val="20"/>
              </w:rPr>
              <w:t>（在职人员数</w:t>
            </w:r>
            <w:r>
              <w:rPr>
                <w:kern w:val="0"/>
                <w:sz w:val="20"/>
                <w:szCs w:val="20"/>
              </w:rPr>
              <w:t>/</w:t>
            </w:r>
            <w:r>
              <w:rPr>
                <w:rFonts w:hint="eastAsia"/>
                <w:kern w:val="0"/>
                <w:sz w:val="20"/>
                <w:szCs w:val="20"/>
              </w:rPr>
              <w:t>编制数）</w:t>
            </w:r>
            <w:r>
              <w:rPr>
                <w:kern w:val="0"/>
                <w:sz w:val="20"/>
                <w:szCs w:val="20"/>
              </w:rPr>
              <w:t>×100%</w:t>
            </w:r>
            <w:r>
              <w:rPr>
                <w:rFonts w:hint="eastAsia"/>
                <w:kern w:val="0"/>
                <w:sz w:val="20"/>
                <w:szCs w:val="20"/>
              </w:rPr>
              <w:t>，在职人员数：部门（单位）实际在职人数。</w:t>
            </w:r>
          </w:p>
          <w:p>
            <w:pPr>
              <w:widowControl/>
              <w:spacing w:line="300" w:lineRule="exact"/>
              <w:jc w:val="left"/>
              <w:rPr>
                <w:kern w:val="0"/>
                <w:sz w:val="20"/>
                <w:szCs w:val="20"/>
              </w:rPr>
            </w:pPr>
            <w:r>
              <w:rPr>
                <w:rFonts w:hint="eastAsia"/>
                <w:kern w:val="0"/>
                <w:sz w:val="20"/>
                <w:szCs w:val="20"/>
              </w:rPr>
              <w:t>编制数：机构编制部门核定批复的部门（单位）的人员编制数。</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5</w:t>
            </w: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4"/>
              </w:rPr>
            </w:pPr>
            <w:r>
              <w:rPr>
                <w:rFonts w:hint="eastAsia"/>
                <w:color w:val="000000"/>
                <w:kern w:val="0"/>
                <w:sz w:val="20"/>
                <w:szCs w:val="20"/>
              </w:rPr>
              <w:t>35人</w:t>
            </w:r>
            <w:r>
              <w:rPr>
                <w:color w:val="000000"/>
                <w:kern w:val="0"/>
                <w:sz w:val="20"/>
                <w:szCs w:val="20"/>
              </w:rPr>
              <w:t>/35</w:t>
            </w:r>
            <w:r>
              <w:rPr>
                <w:rFonts w:hint="eastAsia"/>
                <w:color w:val="000000"/>
                <w:kern w:val="0"/>
                <w:sz w:val="20"/>
                <w:szCs w:val="20"/>
              </w:rPr>
              <w:t>人</w:t>
            </w:r>
            <w:r>
              <w:rPr>
                <w:kern w:val="0"/>
                <w:sz w:val="20"/>
                <w:szCs w:val="20"/>
              </w:rPr>
              <w:t>×</w:t>
            </w:r>
            <w:r>
              <w:rPr>
                <w:color w:val="000000"/>
                <w:kern w:val="0"/>
                <w:sz w:val="20"/>
                <w:szCs w:val="20"/>
              </w:rPr>
              <w:t>100%=</w:t>
            </w:r>
            <w:r>
              <w:rPr>
                <w:rFonts w:hint="eastAsia"/>
                <w:color w:val="000000"/>
                <w:kern w:val="0"/>
                <w:sz w:val="20"/>
                <w:szCs w:val="20"/>
              </w:rPr>
              <w:t>100</w:t>
            </w:r>
            <w:r>
              <w:rPr>
                <w:color w:val="000000"/>
                <w:kern w:val="0"/>
                <w:sz w:val="20"/>
                <w:szCs w:val="20"/>
              </w:rPr>
              <w:t>%</w:t>
            </w:r>
          </w:p>
        </w:tc>
      </w:tr>
      <w:tr>
        <w:tblPrEx>
          <w:tblCellMar>
            <w:top w:w="0" w:type="dxa"/>
            <w:left w:w="108" w:type="dxa"/>
            <w:bottom w:w="0" w:type="dxa"/>
            <w:right w:w="108" w:type="dxa"/>
          </w:tblCellMar>
        </w:tblPrEx>
        <w:trPr>
          <w:trHeight w:val="157" w:hRule="atLeast"/>
        </w:trPr>
        <w:tc>
          <w:tcPr>
            <w:tcW w:w="46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438" w:type="dxa"/>
            <w:vMerge w:val="continue"/>
            <w:tcBorders>
              <w:top w:val="nil"/>
              <w:left w:val="nil"/>
              <w:bottom w:val="single" w:color="auto"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三公经费</w:t>
            </w:r>
          </w:p>
          <w:p>
            <w:pPr>
              <w:widowControl/>
              <w:spacing w:line="320" w:lineRule="exact"/>
              <w:jc w:val="center"/>
              <w:rPr>
                <w:kern w:val="0"/>
                <w:sz w:val="20"/>
                <w:szCs w:val="20"/>
              </w:rPr>
            </w:pPr>
            <w:r>
              <w:rPr>
                <w:rFonts w:hint="eastAsia"/>
                <w:kern w:val="0"/>
                <w:sz w:val="20"/>
                <w:szCs w:val="20"/>
              </w:rPr>
              <w:t>变动率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8</w:t>
            </w:r>
          </w:p>
        </w:tc>
        <w:tc>
          <w:tcPr>
            <w:tcW w:w="2281" w:type="dxa"/>
            <w:tcBorders>
              <w:top w:val="single" w:color="auto" w:sz="4" w:space="0"/>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变动率</w:t>
            </w:r>
            <w:r>
              <w:rPr>
                <w:rFonts w:hint="eastAsia" w:ascii="宋体" w:hAnsi="宋体" w:cs="宋体"/>
                <w:kern w:val="0"/>
                <w:sz w:val="20"/>
                <w:szCs w:val="20"/>
              </w:rPr>
              <w:t>≦</w:t>
            </w:r>
            <w:r>
              <w:rPr>
                <w:kern w:val="0"/>
                <w:sz w:val="20"/>
                <w:szCs w:val="20"/>
              </w:rPr>
              <w:t>0</w:t>
            </w:r>
            <w:r>
              <w:rPr>
                <w:rFonts w:hint="eastAsia"/>
                <w:kern w:val="0"/>
                <w:sz w:val="20"/>
                <w:szCs w:val="20"/>
              </w:rPr>
              <w:t>，计</w:t>
            </w:r>
            <w:r>
              <w:rPr>
                <w:kern w:val="0"/>
                <w:sz w:val="20"/>
                <w:szCs w:val="20"/>
              </w:rPr>
              <w:t>8</w:t>
            </w:r>
            <w:r>
              <w:rPr>
                <w:rFonts w:hint="eastAsia"/>
                <w:kern w:val="0"/>
                <w:sz w:val="20"/>
                <w:szCs w:val="20"/>
              </w:rPr>
              <w:t>分；</w:t>
            </w: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w:t>
            </w:r>
            <w:r>
              <w:rPr>
                <w:kern w:val="0"/>
                <w:sz w:val="20"/>
                <w:szCs w:val="20"/>
              </w:rPr>
              <w:t>0</w:t>
            </w:r>
            <w:r>
              <w:rPr>
                <w:rFonts w:hint="eastAsia"/>
                <w:kern w:val="0"/>
                <w:sz w:val="20"/>
                <w:szCs w:val="20"/>
              </w:rPr>
              <w:t>，每超过一个百分点扣</w:t>
            </w:r>
            <w:r>
              <w:rPr>
                <w:kern w:val="0"/>
                <w:sz w:val="20"/>
                <w:szCs w:val="20"/>
              </w:rPr>
              <w:t>0.8</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变动率</w:t>
            </w:r>
            <w:r>
              <w:rPr>
                <w:kern w:val="0"/>
                <w:sz w:val="20"/>
                <w:szCs w:val="20"/>
              </w:rPr>
              <w:t>=[</w:t>
            </w:r>
            <w:r>
              <w:rPr>
                <w:rFonts w:hint="eastAsia"/>
                <w:kern w:val="0"/>
                <w:sz w:val="20"/>
                <w:szCs w:val="20"/>
              </w:rPr>
              <w:t>（本年度</w:t>
            </w: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预算数</w:t>
            </w:r>
            <w:r>
              <w:rPr>
                <w:kern w:val="0"/>
                <w:sz w:val="20"/>
                <w:szCs w:val="20"/>
              </w:rPr>
              <w:t>-</w:t>
            </w:r>
            <w:r>
              <w:rPr>
                <w:rFonts w:hint="eastAsia"/>
                <w:kern w:val="0"/>
                <w:sz w:val="20"/>
                <w:szCs w:val="20"/>
              </w:rPr>
              <w:t>上年度</w:t>
            </w: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预算数）</w:t>
            </w:r>
            <w:r>
              <w:rPr>
                <w:kern w:val="0"/>
                <w:sz w:val="20"/>
                <w:szCs w:val="20"/>
              </w:rPr>
              <w:t>/</w:t>
            </w:r>
            <w:r>
              <w:rPr>
                <w:rFonts w:hint="eastAsia"/>
                <w:kern w:val="0"/>
                <w:sz w:val="20"/>
                <w:szCs w:val="20"/>
              </w:rPr>
              <w:t>上年度</w:t>
            </w: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预算数</w:t>
            </w:r>
            <w:r>
              <w:rPr>
                <w:kern w:val="0"/>
                <w:sz w:val="20"/>
                <w:szCs w:val="20"/>
              </w:rPr>
              <w:t>]×100%</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8</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color w:val="000000"/>
                <w:kern w:val="0"/>
                <w:sz w:val="20"/>
                <w:szCs w:val="20"/>
              </w:rPr>
              <w:t>(</w:t>
            </w:r>
            <w:r>
              <w:rPr>
                <w:rFonts w:hint="eastAsia"/>
                <w:color w:val="000000"/>
                <w:kern w:val="0"/>
                <w:sz w:val="20"/>
                <w:szCs w:val="20"/>
              </w:rPr>
              <w:t>10.56-21</w:t>
            </w:r>
            <w:r>
              <w:rPr>
                <w:color w:val="000000"/>
                <w:kern w:val="0"/>
                <w:sz w:val="20"/>
                <w:szCs w:val="20"/>
              </w:rPr>
              <w:t>)</w:t>
            </w:r>
            <w:r>
              <w:rPr>
                <w:rFonts w:hint="eastAsia"/>
                <w:color w:val="000000"/>
                <w:kern w:val="0"/>
                <w:sz w:val="20"/>
                <w:szCs w:val="20"/>
              </w:rPr>
              <w:t>万元</w:t>
            </w:r>
            <w:r>
              <w:rPr>
                <w:color w:val="000000"/>
                <w:kern w:val="0"/>
                <w:sz w:val="20"/>
                <w:szCs w:val="20"/>
              </w:rPr>
              <w:t>/2</w:t>
            </w:r>
            <w:r>
              <w:rPr>
                <w:rFonts w:hint="eastAsia"/>
                <w:color w:val="000000"/>
                <w:kern w:val="0"/>
                <w:sz w:val="20"/>
                <w:szCs w:val="20"/>
              </w:rPr>
              <w:t>1万元</w:t>
            </w:r>
            <w:r>
              <w:rPr>
                <w:kern w:val="0"/>
                <w:sz w:val="20"/>
                <w:szCs w:val="20"/>
              </w:rPr>
              <w:t>×</w:t>
            </w:r>
            <w:r>
              <w:rPr>
                <w:color w:val="000000"/>
                <w:kern w:val="0"/>
                <w:sz w:val="20"/>
                <w:szCs w:val="20"/>
              </w:rPr>
              <w:t>100%=</w:t>
            </w:r>
            <w:r>
              <w:rPr>
                <w:rFonts w:hint="eastAsia" w:hAnsi="仿宋_GB2312"/>
                <w:color w:val="000000"/>
                <w:kern w:val="0"/>
                <w:sz w:val="20"/>
                <w:szCs w:val="20"/>
              </w:rPr>
              <w:t>-49.7</w:t>
            </w:r>
            <w:r>
              <w:rPr>
                <w:color w:val="000000"/>
                <w:kern w:val="0"/>
                <w:sz w:val="20"/>
                <w:szCs w:val="20"/>
              </w:rPr>
              <w:t>%</w:t>
            </w:r>
          </w:p>
        </w:tc>
      </w:tr>
      <w:tr>
        <w:tblPrEx>
          <w:tblCellMar>
            <w:top w:w="0" w:type="dxa"/>
            <w:left w:w="108" w:type="dxa"/>
            <w:bottom w:w="0" w:type="dxa"/>
            <w:right w:w="108" w:type="dxa"/>
          </w:tblCellMar>
        </w:tblPrEx>
        <w:trPr>
          <w:trHeight w:val="157" w:hRule="atLeast"/>
        </w:trPr>
        <w:tc>
          <w:tcPr>
            <w:tcW w:w="46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过程</w:t>
            </w: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kern w:val="0"/>
                <w:sz w:val="20"/>
                <w:szCs w:val="20"/>
              </w:rPr>
              <w:t>61</w:t>
            </w:r>
          </w:p>
        </w:tc>
        <w:tc>
          <w:tcPr>
            <w:tcW w:w="43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预算执行</w:t>
            </w: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kern w:val="0"/>
                <w:sz w:val="20"/>
                <w:szCs w:val="20"/>
              </w:rPr>
              <w:t>20</w:t>
            </w: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预算</w:t>
            </w:r>
          </w:p>
          <w:p>
            <w:pPr>
              <w:widowControl/>
              <w:spacing w:line="320" w:lineRule="exact"/>
              <w:jc w:val="center"/>
              <w:rPr>
                <w:kern w:val="0"/>
                <w:sz w:val="20"/>
                <w:szCs w:val="20"/>
              </w:rPr>
            </w:pPr>
            <w:r>
              <w:rPr>
                <w:rFonts w:hint="eastAsia"/>
                <w:kern w:val="0"/>
                <w:sz w:val="20"/>
                <w:szCs w:val="20"/>
              </w:rPr>
              <w:t>完成率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5</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100%</w:t>
            </w:r>
            <w:r>
              <w:rPr>
                <w:rFonts w:hint="eastAsia"/>
                <w:kern w:val="0"/>
                <w:sz w:val="20"/>
                <w:szCs w:val="20"/>
              </w:rPr>
              <w:t>计满分，每低于</w:t>
            </w:r>
            <w:r>
              <w:rPr>
                <w:kern w:val="0"/>
                <w:sz w:val="20"/>
                <w:szCs w:val="20"/>
              </w:rPr>
              <w:t>5%</w:t>
            </w:r>
            <w:r>
              <w:rPr>
                <w:rFonts w:hint="eastAsia"/>
                <w:kern w:val="0"/>
                <w:sz w:val="20"/>
                <w:szCs w:val="20"/>
              </w:rPr>
              <w:t>扣</w:t>
            </w:r>
            <w:r>
              <w:rPr>
                <w:kern w:val="0"/>
                <w:sz w:val="20"/>
                <w:szCs w:val="20"/>
              </w:rPr>
              <w:t>2</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预算完成率</w:t>
            </w:r>
            <w:r>
              <w:rPr>
                <w:kern w:val="0"/>
                <w:sz w:val="20"/>
                <w:szCs w:val="20"/>
              </w:rPr>
              <w:t>=</w:t>
            </w:r>
            <w:r>
              <w:rPr>
                <w:rFonts w:hint="eastAsia"/>
                <w:kern w:val="0"/>
                <w:sz w:val="20"/>
                <w:szCs w:val="20"/>
              </w:rPr>
              <w:t>（上年结转</w:t>
            </w:r>
            <w:r>
              <w:rPr>
                <w:kern w:val="0"/>
                <w:sz w:val="20"/>
                <w:szCs w:val="20"/>
              </w:rPr>
              <w:t>+</w:t>
            </w:r>
            <w:r>
              <w:rPr>
                <w:rFonts w:hint="eastAsia"/>
                <w:kern w:val="0"/>
                <w:sz w:val="20"/>
                <w:szCs w:val="20"/>
              </w:rPr>
              <w:t>年初预算</w:t>
            </w:r>
            <w:r>
              <w:rPr>
                <w:kern w:val="0"/>
                <w:sz w:val="20"/>
                <w:szCs w:val="20"/>
              </w:rPr>
              <w:t>+</w:t>
            </w:r>
            <w:r>
              <w:rPr>
                <w:rFonts w:hint="eastAsia"/>
                <w:kern w:val="0"/>
                <w:sz w:val="20"/>
                <w:szCs w:val="20"/>
              </w:rPr>
              <w:t>本年追加预算</w:t>
            </w:r>
            <w:r>
              <w:rPr>
                <w:kern w:val="0"/>
                <w:sz w:val="20"/>
                <w:szCs w:val="20"/>
              </w:rPr>
              <w:t>-</w:t>
            </w:r>
            <w:r>
              <w:rPr>
                <w:rFonts w:hint="eastAsia"/>
                <w:kern w:val="0"/>
                <w:sz w:val="20"/>
                <w:szCs w:val="20"/>
              </w:rPr>
              <w:t>年末结余</w:t>
            </w:r>
            <w:r>
              <w:rPr>
                <w:kern w:val="0"/>
                <w:sz w:val="20"/>
                <w:szCs w:val="20"/>
              </w:rPr>
              <w:t>/</w:t>
            </w:r>
            <w:r>
              <w:rPr>
                <w:rFonts w:hint="eastAsia"/>
                <w:kern w:val="0"/>
                <w:sz w:val="20"/>
                <w:szCs w:val="20"/>
              </w:rPr>
              <w:t>上年结转</w:t>
            </w:r>
            <w:r>
              <w:rPr>
                <w:kern w:val="0"/>
                <w:sz w:val="20"/>
                <w:szCs w:val="20"/>
              </w:rPr>
              <w:t>+</w:t>
            </w:r>
            <w:r>
              <w:rPr>
                <w:rFonts w:hint="eastAsia"/>
                <w:kern w:val="0"/>
                <w:sz w:val="20"/>
                <w:szCs w:val="20"/>
              </w:rPr>
              <w:t>年初预算</w:t>
            </w:r>
            <w:r>
              <w:rPr>
                <w:kern w:val="0"/>
                <w:sz w:val="20"/>
                <w:szCs w:val="20"/>
              </w:rPr>
              <w:t>+</w:t>
            </w:r>
            <w:r>
              <w:rPr>
                <w:rFonts w:hint="eastAsia"/>
                <w:kern w:val="0"/>
                <w:sz w:val="20"/>
                <w:szCs w:val="20"/>
              </w:rPr>
              <w:t>本年追加预算）</w:t>
            </w:r>
            <w:r>
              <w:rPr>
                <w:kern w:val="0"/>
                <w:sz w:val="20"/>
                <w:szCs w:val="20"/>
              </w:rPr>
              <w:t>×100%</w:t>
            </w:r>
            <w:r>
              <w:rPr>
                <w:rFonts w:hint="eastAsia"/>
                <w:kern w:val="0"/>
                <w:sz w:val="20"/>
                <w:szCs w:val="20"/>
              </w:rPr>
              <w:t>。</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5</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color w:val="000000"/>
                <w:kern w:val="0"/>
                <w:sz w:val="20"/>
                <w:szCs w:val="20"/>
              </w:rPr>
              <w:t>（11651.87+794.64）/万元（11651.87+794.64）万元</w:t>
            </w:r>
            <w:r>
              <w:rPr>
                <w:kern w:val="0"/>
                <w:sz w:val="20"/>
                <w:szCs w:val="20"/>
              </w:rPr>
              <w:t>×</w:t>
            </w:r>
            <w:r>
              <w:rPr>
                <w:color w:val="000000"/>
                <w:kern w:val="0"/>
                <w:sz w:val="20"/>
                <w:szCs w:val="20"/>
              </w:rPr>
              <w:t>100%=</w:t>
            </w:r>
            <w:r>
              <w:rPr>
                <w:rFonts w:hint="eastAsia"/>
                <w:color w:val="000000"/>
                <w:kern w:val="0"/>
                <w:sz w:val="20"/>
                <w:szCs w:val="20"/>
              </w:rPr>
              <w:t>100%</w:t>
            </w:r>
          </w:p>
        </w:tc>
      </w:tr>
      <w:tr>
        <w:tblPrEx>
          <w:tblCellMar>
            <w:top w:w="0" w:type="dxa"/>
            <w:left w:w="108" w:type="dxa"/>
            <w:bottom w:w="0" w:type="dxa"/>
            <w:right w:w="108" w:type="dxa"/>
          </w:tblCellMar>
        </w:tblPrEx>
        <w:trPr>
          <w:trHeight w:val="1062"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43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预算</w:t>
            </w:r>
          </w:p>
          <w:p>
            <w:pPr>
              <w:widowControl/>
              <w:spacing w:line="320" w:lineRule="exact"/>
              <w:jc w:val="center"/>
              <w:rPr>
                <w:kern w:val="0"/>
                <w:sz w:val="20"/>
                <w:szCs w:val="20"/>
              </w:rPr>
            </w:pPr>
            <w:r>
              <w:rPr>
                <w:rFonts w:hint="eastAsia"/>
                <w:kern w:val="0"/>
                <w:sz w:val="20"/>
                <w:szCs w:val="20"/>
              </w:rPr>
              <w:t>控制率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5</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预算控制率</w:t>
            </w:r>
            <w:r>
              <w:rPr>
                <w:kern w:val="0"/>
                <w:sz w:val="20"/>
                <w:szCs w:val="20"/>
              </w:rPr>
              <w:t>=0</w:t>
            </w:r>
            <w:r>
              <w:rPr>
                <w:rFonts w:hint="eastAsia"/>
                <w:kern w:val="0"/>
                <w:sz w:val="20"/>
                <w:szCs w:val="20"/>
              </w:rPr>
              <w:t>，计</w:t>
            </w:r>
            <w:r>
              <w:rPr>
                <w:kern w:val="0"/>
                <w:sz w:val="20"/>
                <w:szCs w:val="20"/>
              </w:rPr>
              <w:t>5</w:t>
            </w:r>
            <w:r>
              <w:rPr>
                <w:rFonts w:hint="eastAsia"/>
                <w:kern w:val="0"/>
                <w:sz w:val="20"/>
                <w:szCs w:val="20"/>
              </w:rPr>
              <w:t>分；</w:t>
            </w:r>
            <w:r>
              <w:rPr>
                <w:kern w:val="0"/>
                <w:sz w:val="20"/>
                <w:szCs w:val="20"/>
              </w:rPr>
              <w:t>0-10%</w:t>
            </w:r>
            <w:r>
              <w:rPr>
                <w:rFonts w:hint="eastAsia"/>
                <w:kern w:val="0"/>
                <w:sz w:val="20"/>
                <w:szCs w:val="20"/>
              </w:rPr>
              <w:t>（含），计</w:t>
            </w:r>
            <w:r>
              <w:rPr>
                <w:kern w:val="0"/>
                <w:sz w:val="20"/>
                <w:szCs w:val="20"/>
              </w:rPr>
              <w:t>4</w:t>
            </w:r>
            <w:r>
              <w:rPr>
                <w:rFonts w:hint="eastAsia"/>
                <w:kern w:val="0"/>
                <w:sz w:val="20"/>
                <w:szCs w:val="20"/>
              </w:rPr>
              <w:t>分；</w:t>
            </w:r>
            <w:r>
              <w:rPr>
                <w:kern w:val="0"/>
                <w:sz w:val="20"/>
                <w:szCs w:val="20"/>
              </w:rPr>
              <w:t>10-20%</w:t>
            </w:r>
            <w:r>
              <w:rPr>
                <w:rFonts w:hint="eastAsia"/>
                <w:kern w:val="0"/>
                <w:sz w:val="20"/>
                <w:szCs w:val="20"/>
              </w:rPr>
              <w:t>（含），计</w:t>
            </w:r>
            <w:r>
              <w:rPr>
                <w:kern w:val="0"/>
                <w:sz w:val="20"/>
                <w:szCs w:val="20"/>
              </w:rPr>
              <w:t>3</w:t>
            </w:r>
            <w:r>
              <w:rPr>
                <w:rFonts w:hint="eastAsia"/>
                <w:kern w:val="0"/>
                <w:sz w:val="20"/>
                <w:szCs w:val="20"/>
              </w:rPr>
              <w:t>分；</w:t>
            </w:r>
            <w:r>
              <w:rPr>
                <w:kern w:val="0"/>
                <w:sz w:val="20"/>
                <w:szCs w:val="20"/>
              </w:rPr>
              <w:t>20-30%</w:t>
            </w:r>
            <w:r>
              <w:rPr>
                <w:rFonts w:hint="eastAsia"/>
                <w:kern w:val="0"/>
                <w:sz w:val="20"/>
                <w:szCs w:val="20"/>
              </w:rPr>
              <w:t>（含），计</w:t>
            </w:r>
            <w:r>
              <w:rPr>
                <w:kern w:val="0"/>
                <w:sz w:val="20"/>
                <w:szCs w:val="20"/>
              </w:rPr>
              <w:t>2</w:t>
            </w:r>
            <w:r>
              <w:rPr>
                <w:rFonts w:hint="eastAsia"/>
                <w:kern w:val="0"/>
                <w:sz w:val="20"/>
                <w:szCs w:val="20"/>
              </w:rPr>
              <w:t>分；大于</w:t>
            </w:r>
            <w:r>
              <w:rPr>
                <w:kern w:val="0"/>
                <w:sz w:val="20"/>
                <w:szCs w:val="20"/>
              </w:rPr>
              <w:t>30%</w:t>
            </w:r>
            <w:r>
              <w:rPr>
                <w:rFonts w:hint="eastAsia"/>
                <w:kern w:val="0"/>
                <w:sz w:val="20"/>
                <w:szCs w:val="20"/>
              </w:rPr>
              <w:t>不得分</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预算控制率</w:t>
            </w:r>
            <w:r>
              <w:rPr>
                <w:kern w:val="0"/>
                <w:sz w:val="20"/>
                <w:szCs w:val="20"/>
              </w:rPr>
              <w:t>=</w:t>
            </w:r>
            <w:r>
              <w:rPr>
                <w:rFonts w:hint="eastAsia"/>
                <w:kern w:val="0"/>
                <w:sz w:val="20"/>
                <w:szCs w:val="20"/>
              </w:rPr>
              <w:t>（本年追加预算</w:t>
            </w:r>
            <w:r>
              <w:rPr>
                <w:kern w:val="0"/>
                <w:sz w:val="20"/>
                <w:szCs w:val="20"/>
              </w:rPr>
              <w:t>/</w:t>
            </w:r>
            <w:r>
              <w:rPr>
                <w:rFonts w:hint="eastAsia"/>
                <w:kern w:val="0"/>
                <w:sz w:val="20"/>
                <w:szCs w:val="20"/>
              </w:rPr>
              <w:t>年初预算）</w:t>
            </w:r>
            <w:r>
              <w:rPr>
                <w:kern w:val="0"/>
                <w:sz w:val="20"/>
                <w:szCs w:val="20"/>
              </w:rPr>
              <w:t>×100%</w:t>
            </w:r>
            <w:r>
              <w:rPr>
                <w:rFonts w:hint="eastAsia"/>
                <w:kern w:val="0"/>
                <w:sz w:val="20"/>
                <w:szCs w:val="20"/>
              </w:rPr>
              <w:t>。</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4</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color w:val="000000"/>
                <w:kern w:val="0"/>
                <w:sz w:val="20"/>
                <w:szCs w:val="20"/>
              </w:rPr>
              <w:t>794.64万元/11641.87万元</w:t>
            </w:r>
            <w:r>
              <w:rPr>
                <w:kern w:val="0"/>
                <w:sz w:val="20"/>
                <w:szCs w:val="20"/>
              </w:rPr>
              <w:t>×</w:t>
            </w:r>
            <w:r>
              <w:rPr>
                <w:color w:val="000000"/>
                <w:kern w:val="0"/>
                <w:sz w:val="20"/>
                <w:szCs w:val="20"/>
              </w:rPr>
              <w:t>100%</w:t>
            </w:r>
            <w:r>
              <w:rPr>
                <w:rFonts w:hint="eastAsia"/>
                <w:color w:val="000000"/>
                <w:kern w:val="0"/>
                <w:sz w:val="20"/>
                <w:szCs w:val="20"/>
              </w:rPr>
              <w:t>=6.8%</w:t>
            </w:r>
          </w:p>
        </w:tc>
      </w:tr>
      <w:tr>
        <w:tblPrEx>
          <w:tblCellMar>
            <w:top w:w="0" w:type="dxa"/>
            <w:left w:w="108" w:type="dxa"/>
            <w:bottom w:w="0" w:type="dxa"/>
            <w:right w:w="108" w:type="dxa"/>
          </w:tblCellMar>
        </w:tblPrEx>
        <w:trPr>
          <w:trHeight w:val="1267"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43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新建楼堂馆所面积控制率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5</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100%</w:t>
            </w:r>
            <w:r>
              <w:rPr>
                <w:rFonts w:hint="eastAsia"/>
                <w:kern w:val="0"/>
                <w:sz w:val="20"/>
                <w:szCs w:val="20"/>
              </w:rPr>
              <w:t>以下（含）计满分，每超出</w:t>
            </w:r>
            <w:r>
              <w:rPr>
                <w:kern w:val="0"/>
                <w:sz w:val="20"/>
                <w:szCs w:val="20"/>
              </w:rPr>
              <w:t>5%</w:t>
            </w:r>
            <w:r>
              <w:rPr>
                <w:rFonts w:hint="eastAsia"/>
                <w:kern w:val="0"/>
                <w:sz w:val="20"/>
                <w:szCs w:val="20"/>
              </w:rPr>
              <w:t>扣</w:t>
            </w:r>
            <w:r>
              <w:rPr>
                <w:kern w:val="0"/>
                <w:sz w:val="20"/>
                <w:szCs w:val="20"/>
              </w:rPr>
              <w:t>2</w:t>
            </w:r>
            <w:r>
              <w:rPr>
                <w:rFonts w:hint="eastAsia"/>
                <w:kern w:val="0"/>
                <w:sz w:val="20"/>
                <w:szCs w:val="20"/>
              </w:rPr>
              <w:t>分，扣完为止。没有楼梯馆所项目的部门按满分计算</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楼堂馆所面积控制率</w:t>
            </w:r>
            <w:r>
              <w:rPr>
                <w:kern w:val="0"/>
                <w:sz w:val="20"/>
                <w:szCs w:val="20"/>
              </w:rPr>
              <w:t>=</w:t>
            </w:r>
            <w:r>
              <w:rPr>
                <w:rFonts w:hint="eastAsia"/>
                <w:kern w:val="0"/>
                <w:sz w:val="20"/>
                <w:szCs w:val="20"/>
              </w:rPr>
              <w:t>实际建设面积</w:t>
            </w:r>
            <w:r>
              <w:rPr>
                <w:kern w:val="0"/>
                <w:sz w:val="20"/>
                <w:szCs w:val="20"/>
              </w:rPr>
              <w:t>/</w:t>
            </w:r>
            <w:r>
              <w:rPr>
                <w:rFonts w:hint="eastAsia"/>
                <w:kern w:val="0"/>
                <w:sz w:val="20"/>
                <w:szCs w:val="20"/>
              </w:rPr>
              <w:t>批准建设面积</w:t>
            </w:r>
            <w:r>
              <w:rPr>
                <w:kern w:val="0"/>
                <w:sz w:val="20"/>
                <w:szCs w:val="20"/>
              </w:rPr>
              <w:t xml:space="preserve">×100% </w:t>
            </w:r>
            <w:r>
              <w:rPr>
                <w:rFonts w:hint="eastAsia"/>
                <w:kern w:val="0"/>
                <w:sz w:val="20"/>
                <w:szCs w:val="20"/>
              </w:rPr>
              <w:t>。</w:t>
            </w:r>
          </w:p>
          <w:p>
            <w:pPr>
              <w:widowControl/>
              <w:spacing w:line="300" w:lineRule="exact"/>
              <w:jc w:val="left"/>
              <w:rPr>
                <w:kern w:val="0"/>
                <w:sz w:val="20"/>
                <w:szCs w:val="20"/>
              </w:rPr>
            </w:pPr>
            <w:r>
              <w:rPr>
                <w:rFonts w:hint="eastAsia"/>
                <w:kern w:val="0"/>
                <w:sz w:val="20"/>
                <w:szCs w:val="20"/>
              </w:rPr>
              <w:t>该指标以</w:t>
            </w:r>
            <w:r>
              <w:rPr>
                <w:kern w:val="0"/>
                <w:sz w:val="20"/>
                <w:szCs w:val="20"/>
              </w:rPr>
              <w:t>2014</w:t>
            </w:r>
            <w:r>
              <w:rPr>
                <w:rFonts w:hint="eastAsia"/>
                <w:kern w:val="0"/>
                <w:sz w:val="20"/>
                <w:szCs w:val="20"/>
              </w:rPr>
              <w:t>年完工的新建楼堂馆所为评价内容。</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5</w:t>
            </w: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4"/>
              </w:rPr>
            </w:pPr>
            <w:r>
              <w:rPr>
                <w:rFonts w:hint="eastAsia"/>
                <w:kern w:val="0"/>
                <w:sz w:val="24"/>
              </w:rPr>
              <w:t>未新建</w:t>
            </w:r>
          </w:p>
        </w:tc>
      </w:tr>
      <w:tr>
        <w:tblPrEx>
          <w:tblCellMar>
            <w:top w:w="0" w:type="dxa"/>
            <w:left w:w="108" w:type="dxa"/>
            <w:bottom w:w="0" w:type="dxa"/>
            <w:right w:w="108" w:type="dxa"/>
          </w:tblCellMar>
        </w:tblPrEx>
        <w:trPr>
          <w:trHeight w:val="1217"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43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新建楼堂馆所投资概算控制率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5</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100%</w:t>
            </w:r>
            <w:r>
              <w:rPr>
                <w:rFonts w:hint="eastAsia"/>
                <w:kern w:val="0"/>
                <w:sz w:val="20"/>
                <w:szCs w:val="20"/>
              </w:rPr>
              <w:t>以下（含）计满分，每超出</w:t>
            </w:r>
            <w:r>
              <w:rPr>
                <w:kern w:val="0"/>
                <w:sz w:val="20"/>
                <w:szCs w:val="20"/>
              </w:rPr>
              <w:t>5%</w:t>
            </w:r>
            <w:r>
              <w:rPr>
                <w:rFonts w:hint="eastAsia"/>
                <w:kern w:val="0"/>
                <w:sz w:val="20"/>
                <w:szCs w:val="20"/>
              </w:rPr>
              <w:t>扣</w:t>
            </w:r>
            <w:r>
              <w:rPr>
                <w:kern w:val="0"/>
                <w:sz w:val="20"/>
                <w:szCs w:val="20"/>
              </w:rPr>
              <w:t>2</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楼堂馆所投资预算控制率</w:t>
            </w:r>
            <w:r>
              <w:rPr>
                <w:kern w:val="0"/>
                <w:sz w:val="20"/>
                <w:szCs w:val="20"/>
              </w:rPr>
              <w:t>=</w:t>
            </w:r>
            <w:r>
              <w:rPr>
                <w:rFonts w:hint="eastAsia"/>
                <w:kern w:val="0"/>
                <w:sz w:val="20"/>
                <w:szCs w:val="20"/>
              </w:rPr>
              <w:t>实际投资金额</w:t>
            </w:r>
            <w:r>
              <w:rPr>
                <w:kern w:val="0"/>
                <w:sz w:val="20"/>
                <w:szCs w:val="20"/>
              </w:rPr>
              <w:t>/</w:t>
            </w:r>
            <w:r>
              <w:rPr>
                <w:rFonts w:hint="eastAsia"/>
                <w:kern w:val="0"/>
                <w:sz w:val="20"/>
                <w:szCs w:val="20"/>
              </w:rPr>
              <w:t>批准投资金额</w:t>
            </w:r>
            <w:r>
              <w:rPr>
                <w:kern w:val="0"/>
                <w:sz w:val="20"/>
                <w:szCs w:val="20"/>
              </w:rPr>
              <w:t xml:space="preserve">×100% </w:t>
            </w:r>
            <w:r>
              <w:rPr>
                <w:rFonts w:hint="eastAsia"/>
                <w:kern w:val="0"/>
                <w:sz w:val="20"/>
                <w:szCs w:val="20"/>
              </w:rPr>
              <w:t>。</w:t>
            </w:r>
          </w:p>
          <w:p>
            <w:pPr>
              <w:widowControl/>
              <w:spacing w:line="300" w:lineRule="exact"/>
              <w:jc w:val="left"/>
              <w:rPr>
                <w:kern w:val="0"/>
                <w:sz w:val="20"/>
                <w:szCs w:val="20"/>
              </w:rPr>
            </w:pPr>
            <w:r>
              <w:rPr>
                <w:rFonts w:hint="eastAsia"/>
                <w:kern w:val="0"/>
                <w:sz w:val="20"/>
                <w:szCs w:val="20"/>
              </w:rPr>
              <w:t>该指标以</w:t>
            </w:r>
            <w:r>
              <w:rPr>
                <w:kern w:val="0"/>
                <w:sz w:val="20"/>
                <w:szCs w:val="20"/>
              </w:rPr>
              <w:t>2014</w:t>
            </w:r>
            <w:r>
              <w:rPr>
                <w:rFonts w:hint="eastAsia"/>
                <w:kern w:val="0"/>
                <w:sz w:val="20"/>
                <w:szCs w:val="20"/>
              </w:rPr>
              <w:t>年完工的新建楼堂馆所为评价内容。</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5</w:t>
            </w: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4"/>
              </w:rPr>
            </w:pPr>
            <w:r>
              <w:rPr>
                <w:rFonts w:hint="eastAsia"/>
                <w:kern w:val="0"/>
                <w:sz w:val="24"/>
              </w:rPr>
              <w:t>未新建</w:t>
            </w:r>
          </w:p>
        </w:tc>
      </w:tr>
      <w:tr>
        <w:tblPrEx>
          <w:tblCellMar>
            <w:top w:w="0" w:type="dxa"/>
            <w:left w:w="108" w:type="dxa"/>
            <w:bottom w:w="0" w:type="dxa"/>
            <w:right w:w="108" w:type="dxa"/>
          </w:tblCellMar>
        </w:tblPrEx>
        <w:trPr>
          <w:trHeight w:val="1581"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43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预算管理</w:t>
            </w:r>
          </w:p>
        </w:tc>
        <w:tc>
          <w:tcPr>
            <w:tcW w:w="330" w:type="dxa"/>
            <w:vMerge w:val="restart"/>
            <w:tcBorders>
              <w:top w:val="nil"/>
              <w:left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41</w:t>
            </w: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公用经费控制率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8</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100%</w:t>
            </w:r>
            <w:r>
              <w:rPr>
                <w:rFonts w:hint="eastAsia"/>
                <w:kern w:val="0"/>
                <w:sz w:val="20"/>
                <w:szCs w:val="20"/>
              </w:rPr>
              <w:t>以下（含）计满分，每超出</w:t>
            </w:r>
            <w:r>
              <w:rPr>
                <w:kern w:val="0"/>
                <w:sz w:val="20"/>
                <w:szCs w:val="20"/>
              </w:rPr>
              <w:t>1%</w:t>
            </w:r>
            <w:r>
              <w:rPr>
                <w:rFonts w:hint="eastAsia"/>
                <w:kern w:val="0"/>
                <w:sz w:val="20"/>
                <w:szCs w:val="20"/>
              </w:rPr>
              <w:t>扣</w:t>
            </w:r>
            <w:r>
              <w:rPr>
                <w:kern w:val="0"/>
                <w:sz w:val="20"/>
                <w:szCs w:val="20"/>
              </w:rPr>
              <w:t>1</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公用经费控制率</w:t>
            </w:r>
            <w:r>
              <w:rPr>
                <w:kern w:val="0"/>
                <w:sz w:val="20"/>
                <w:szCs w:val="20"/>
              </w:rPr>
              <w:t>=</w:t>
            </w:r>
            <w:r>
              <w:rPr>
                <w:rFonts w:hint="eastAsia"/>
                <w:kern w:val="0"/>
                <w:sz w:val="20"/>
                <w:szCs w:val="20"/>
              </w:rPr>
              <w:t>（实际支出公用经费总额</w:t>
            </w:r>
            <w:r>
              <w:rPr>
                <w:kern w:val="0"/>
                <w:sz w:val="20"/>
                <w:szCs w:val="20"/>
              </w:rPr>
              <w:t>/</w:t>
            </w:r>
            <w:r>
              <w:rPr>
                <w:rFonts w:hint="eastAsia"/>
                <w:kern w:val="0"/>
                <w:sz w:val="20"/>
                <w:szCs w:val="20"/>
              </w:rPr>
              <w:t>预算安排公用经费总额）</w:t>
            </w:r>
            <w:r>
              <w:rPr>
                <w:kern w:val="0"/>
                <w:sz w:val="20"/>
                <w:szCs w:val="20"/>
              </w:rPr>
              <w:t>×100%</w:t>
            </w:r>
            <w:r>
              <w:rPr>
                <w:rFonts w:hint="eastAsia"/>
                <w:kern w:val="0"/>
                <w:sz w:val="20"/>
                <w:szCs w:val="20"/>
              </w:rPr>
              <w:t>。</w:t>
            </w:r>
          </w:p>
          <w:p>
            <w:pPr>
              <w:widowControl/>
              <w:spacing w:line="300" w:lineRule="exact"/>
              <w:jc w:val="left"/>
              <w:rPr>
                <w:kern w:val="0"/>
                <w:sz w:val="20"/>
                <w:szCs w:val="20"/>
              </w:rPr>
            </w:pPr>
            <w:r>
              <w:rPr>
                <w:rFonts w:hint="eastAsia"/>
                <w:kern w:val="0"/>
                <w:sz w:val="20"/>
                <w:szCs w:val="20"/>
              </w:rPr>
              <w:t>公用经费支出是指部门基本支出中的一般商品和服务支出。</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8</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0"/>
                <w:szCs w:val="20"/>
              </w:rPr>
              <w:t>54.66万元/87.74</w:t>
            </w:r>
            <w:r>
              <w:rPr>
                <w:rFonts w:hint="eastAsia"/>
                <w:color w:val="000000"/>
                <w:kern w:val="0"/>
                <w:sz w:val="20"/>
                <w:szCs w:val="20"/>
              </w:rPr>
              <w:t>万元</w:t>
            </w:r>
            <w:r>
              <w:rPr>
                <w:kern w:val="0"/>
                <w:sz w:val="20"/>
                <w:szCs w:val="20"/>
              </w:rPr>
              <w:t>×100%</w:t>
            </w:r>
            <w:r>
              <w:rPr>
                <w:rFonts w:hint="eastAsia"/>
                <w:kern w:val="0"/>
                <w:sz w:val="20"/>
                <w:szCs w:val="20"/>
              </w:rPr>
              <w:t>=62.3%</w:t>
            </w:r>
          </w:p>
        </w:tc>
      </w:tr>
      <w:tr>
        <w:tblPrEx>
          <w:tblCellMar>
            <w:top w:w="0" w:type="dxa"/>
            <w:left w:w="108" w:type="dxa"/>
            <w:bottom w:w="0" w:type="dxa"/>
            <w:right w:w="108" w:type="dxa"/>
          </w:tblCellMar>
        </w:tblPrEx>
        <w:trPr>
          <w:trHeight w:val="808"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43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left w:val="single" w:color="auto" w:sz="4" w:space="0"/>
              <w:right w:val="single" w:color="auto" w:sz="4" w:space="0"/>
            </w:tcBorders>
            <w:vAlign w:val="center"/>
          </w:tcPr>
          <w:p>
            <w:pPr>
              <w:widowControl/>
              <w:spacing w:line="32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三公经费控制率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8</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100%</w:t>
            </w:r>
            <w:r>
              <w:rPr>
                <w:rFonts w:hint="eastAsia"/>
                <w:kern w:val="0"/>
                <w:sz w:val="20"/>
                <w:szCs w:val="20"/>
              </w:rPr>
              <w:t>以下（含）计满分，每超出</w:t>
            </w:r>
            <w:r>
              <w:rPr>
                <w:kern w:val="0"/>
                <w:sz w:val="20"/>
                <w:szCs w:val="20"/>
              </w:rPr>
              <w:t>1%</w:t>
            </w:r>
            <w:r>
              <w:rPr>
                <w:rFonts w:hint="eastAsia"/>
                <w:kern w:val="0"/>
                <w:sz w:val="20"/>
                <w:szCs w:val="20"/>
              </w:rPr>
              <w:t>扣</w:t>
            </w:r>
            <w:r>
              <w:rPr>
                <w:kern w:val="0"/>
                <w:sz w:val="20"/>
                <w:szCs w:val="20"/>
              </w:rPr>
              <w:t>1</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控制率</w:t>
            </w:r>
            <w:r>
              <w:rPr>
                <w:kern w:val="0"/>
                <w:sz w:val="20"/>
                <w:szCs w:val="20"/>
              </w:rPr>
              <w:t>-</w:t>
            </w:r>
            <w:r>
              <w:rPr>
                <w:rFonts w:hint="eastAsia"/>
                <w:kern w:val="0"/>
                <w:sz w:val="20"/>
                <w:szCs w:val="20"/>
              </w:rPr>
              <w:t>（</w:t>
            </w: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实际支出数</w:t>
            </w:r>
            <w:r>
              <w:rPr>
                <w:kern w:val="0"/>
                <w:sz w:val="20"/>
                <w:szCs w:val="20"/>
              </w:rPr>
              <w:t>/“</w:t>
            </w:r>
            <w:r>
              <w:rPr>
                <w:rFonts w:hint="eastAsia"/>
                <w:kern w:val="0"/>
                <w:sz w:val="20"/>
                <w:szCs w:val="20"/>
              </w:rPr>
              <w:t>三公经费</w:t>
            </w:r>
            <w:r>
              <w:rPr>
                <w:kern w:val="0"/>
                <w:sz w:val="20"/>
                <w:szCs w:val="20"/>
              </w:rPr>
              <w:t>”</w:t>
            </w:r>
            <w:r>
              <w:rPr>
                <w:rFonts w:hint="eastAsia"/>
                <w:kern w:val="0"/>
                <w:sz w:val="20"/>
                <w:szCs w:val="20"/>
              </w:rPr>
              <w:t>预算安排数）</w:t>
            </w:r>
            <w:r>
              <w:rPr>
                <w:kern w:val="0"/>
                <w:sz w:val="20"/>
                <w:szCs w:val="20"/>
              </w:rPr>
              <w:t>×100%</w:t>
            </w:r>
            <w:r>
              <w:rPr>
                <w:rFonts w:hint="eastAsia"/>
                <w:kern w:val="0"/>
                <w:sz w:val="20"/>
                <w:szCs w:val="20"/>
              </w:rPr>
              <w:t>。</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8</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0"/>
                <w:szCs w:val="20"/>
              </w:rPr>
              <w:t>5.49</w:t>
            </w:r>
            <w:r>
              <w:rPr>
                <w:rFonts w:hint="eastAsia"/>
                <w:color w:val="000000"/>
                <w:kern w:val="0"/>
                <w:sz w:val="20"/>
                <w:szCs w:val="20"/>
              </w:rPr>
              <w:t>万元</w:t>
            </w:r>
            <w:r>
              <w:rPr>
                <w:rFonts w:hint="eastAsia"/>
                <w:kern w:val="0"/>
                <w:sz w:val="20"/>
                <w:szCs w:val="20"/>
              </w:rPr>
              <w:t>/10.56</w:t>
            </w:r>
            <w:r>
              <w:rPr>
                <w:rFonts w:hint="eastAsia"/>
                <w:color w:val="000000"/>
                <w:kern w:val="0"/>
                <w:sz w:val="20"/>
                <w:szCs w:val="20"/>
              </w:rPr>
              <w:t>万元</w:t>
            </w:r>
            <w:r>
              <w:rPr>
                <w:kern w:val="0"/>
                <w:sz w:val="20"/>
                <w:szCs w:val="20"/>
              </w:rPr>
              <w:t>×100%</w:t>
            </w:r>
            <w:r>
              <w:rPr>
                <w:rFonts w:hint="eastAsia"/>
                <w:kern w:val="0"/>
                <w:sz w:val="20"/>
                <w:szCs w:val="20"/>
              </w:rPr>
              <w:t>=52%</w:t>
            </w:r>
          </w:p>
        </w:tc>
      </w:tr>
      <w:tr>
        <w:tblPrEx>
          <w:tblCellMar>
            <w:top w:w="0" w:type="dxa"/>
            <w:left w:w="108" w:type="dxa"/>
            <w:bottom w:w="0" w:type="dxa"/>
            <w:right w:w="108" w:type="dxa"/>
          </w:tblCellMar>
        </w:tblPrEx>
        <w:trPr>
          <w:trHeight w:val="1114" w:hRule="atLeast"/>
        </w:trPr>
        <w:tc>
          <w:tcPr>
            <w:tcW w:w="46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kern w:val="0"/>
                <w:sz w:val="20"/>
                <w:szCs w:val="20"/>
              </w:rPr>
            </w:pPr>
          </w:p>
        </w:tc>
        <w:tc>
          <w:tcPr>
            <w:tcW w:w="43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kern w:val="0"/>
                <w:sz w:val="20"/>
                <w:szCs w:val="20"/>
              </w:rPr>
            </w:pPr>
          </w:p>
        </w:tc>
        <w:tc>
          <w:tcPr>
            <w:tcW w:w="330" w:type="dxa"/>
            <w:vMerge w:val="continue"/>
            <w:tcBorders>
              <w:left w:val="single" w:color="auto" w:sz="4" w:space="0"/>
              <w:bottom w:val="single" w:color="auto" w:sz="4" w:space="0"/>
              <w:right w:val="single" w:color="auto" w:sz="4" w:space="0"/>
            </w:tcBorders>
            <w:vAlign w:val="center"/>
          </w:tcPr>
          <w:p>
            <w:pPr>
              <w:widowControl/>
              <w:spacing w:line="32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rFonts w:hint="eastAsia"/>
                <w:kern w:val="0"/>
                <w:sz w:val="20"/>
                <w:szCs w:val="20"/>
              </w:rPr>
              <w:t>政府采购执行率</w:t>
            </w:r>
          </w:p>
        </w:tc>
        <w:tc>
          <w:tcPr>
            <w:tcW w:w="362" w:type="dxa"/>
            <w:tcBorders>
              <w:top w:val="nil"/>
              <w:left w:val="nil"/>
              <w:bottom w:val="single" w:color="auto" w:sz="4" w:space="0"/>
              <w:right w:val="single" w:color="auto" w:sz="4" w:space="0"/>
            </w:tcBorders>
            <w:vAlign w:val="center"/>
          </w:tcPr>
          <w:p>
            <w:pPr>
              <w:widowControl/>
              <w:spacing w:line="320" w:lineRule="exact"/>
              <w:jc w:val="center"/>
              <w:rPr>
                <w:kern w:val="0"/>
                <w:sz w:val="20"/>
                <w:szCs w:val="20"/>
              </w:rPr>
            </w:pPr>
            <w:r>
              <w:rPr>
                <w:kern w:val="0"/>
                <w:sz w:val="20"/>
                <w:szCs w:val="20"/>
              </w:rPr>
              <w:t>6</w:t>
            </w:r>
          </w:p>
        </w:tc>
        <w:tc>
          <w:tcPr>
            <w:tcW w:w="2281"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kern w:val="0"/>
                <w:sz w:val="20"/>
                <w:szCs w:val="20"/>
              </w:rPr>
              <w:t>100%</w:t>
            </w:r>
            <w:r>
              <w:rPr>
                <w:rFonts w:hint="eastAsia"/>
                <w:kern w:val="0"/>
                <w:sz w:val="20"/>
                <w:szCs w:val="20"/>
              </w:rPr>
              <w:t>计满分，每超过（降低）</w:t>
            </w:r>
            <w:r>
              <w:rPr>
                <w:kern w:val="0"/>
                <w:sz w:val="20"/>
                <w:szCs w:val="20"/>
              </w:rPr>
              <w:t>5%</w:t>
            </w:r>
            <w:r>
              <w:rPr>
                <w:rFonts w:hint="eastAsia"/>
                <w:kern w:val="0"/>
                <w:sz w:val="20"/>
                <w:szCs w:val="20"/>
              </w:rPr>
              <w:t>扣</w:t>
            </w:r>
            <w:r>
              <w:rPr>
                <w:kern w:val="0"/>
                <w:sz w:val="20"/>
                <w:szCs w:val="20"/>
              </w:rPr>
              <w:t>2</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300" w:lineRule="exact"/>
              <w:jc w:val="left"/>
              <w:rPr>
                <w:kern w:val="0"/>
                <w:sz w:val="20"/>
                <w:szCs w:val="20"/>
              </w:rPr>
            </w:pPr>
            <w:r>
              <w:rPr>
                <w:rFonts w:hint="eastAsia"/>
                <w:kern w:val="0"/>
                <w:sz w:val="20"/>
                <w:szCs w:val="20"/>
              </w:rPr>
              <w:t>政府采购执行率</w:t>
            </w:r>
            <w:r>
              <w:rPr>
                <w:kern w:val="0"/>
                <w:sz w:val="20"/>
                <w:szCs w:val="20"/>
              </w:rPr>
              <w:t>=</w:t>
            </w:r>
            <w:r>
              <w:rPr>
                <w:rFonts w:hint="eastAsia"/>
                <w:kern w:val="0"/>
                <w:sz w:val="20"/>
                <w:szCs w:val="20"/>
              </w:rPr>
              <w:t>（实际政府采购金额</w:t>
            </w:r>
            <w:r>
              <w:rPr>
                <w:kern w:val="0"/>
                <w:sz w:val="20"/>
                <w:szCs w:val="20"/>
              </w:rPr>
              <w:t>/</w:t>
            </w:r>
            <w:r>
              <w:rPr>
                <w:rFonts w:hint="eastAsia"/>
                <w:kern w:val="0"/>
                <w:sz w:val="20"/>
                <w:szCs w:val="20"/>
              </w:rPr>
              <w:t>政府采购预算数）</w:t>
            </w:r>
            <w:r>
              <w:rPr>
                <w:kern w:val="0"/>
                <w:sz w:val="20"/>
                <w:szCs w:val="20"/>
              </w:rPr>
              <w:t xml:space="preserve">×100%                </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6</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0"/>
                <w:szCs w:val="20"/>
              </w:rPr>
              <w:t>5001.18万元/5045.23万元</w:t>
            </w:r>
            <w:r>
              <w:rPr>
                <w:kern w:val="0"/>
                <w:sz w:val="20"/>
                <w:szCs w:val="20"/>
              </w:rPr>
              <w:t>×100%</w:t>
            </w:r>
            <w:r>
              <w:rPr>
                <w:rFonts w:hint="eastAsia"/>
                <w:kern w:val="0"/>
                <w:sz w:val="20"/>
                <w:szCs w:val="20"/>
              </w:rPr>
              <w:t>=99.1%</w:t>
            </w:r>
          </w:p>
        </w:tc>
      </w:tr>
      <w:tr>
        <w:tblPrEx>
          <w:tblCellMar>
            <w:top w:w="0" w:type="dxa"/>
            <w:left w:w="108" w:type="dxa"/>
            <w:bottom w:w="0" w:type="dxa"/>
            <w:right w:w="108" w:type="dxa"/>
          </w:tblCellMar>
        </w:tblPrEx>
        <w:trPr>
          <w:trHeight w:val="157" w:hRule="atLeast"/>
        </w:trPr>
        <w:tc>
          <w:tcPr>
            <w:tcW w:w="46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过程</w:t>
            </w:r>
          </w:p>
        </w:tc>
        <w:tc>
          <w:tcPr>
            <w:tcW w:w="330"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kern w:val="0"/>
                <w:sz w:val="20"/>
                <w:szCs w:val="20"/>
              </w:rPr>
            </w:pPr>
            <w:r>
              <w:rPr>
                <w:kern w:val="0"/>
                <w:sz w:val="20"/>
                <w:szCs w:val="20"/>
              </w:rPr>
              <w:t>61</w:t>
            </w:r>
          </w:p>
        </w:tc>
        <w:tc>
          <w:tcPr>
            <w:tcW w:w="438"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预算管理</w:t>
            </w:r>
          </w:p>
        </w:tc>
        <w:tc>
          <w:tcPr>
            <w:tcW w:w="33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kern w:val="0"/>
                <w:sz w:val="20"/>
                <w:szCs w:val="20"/>
              </w:rPr>
            </w:pPr>
            <w:r>
              <w:rPr>
                <w:kern w:val="0"/>
                <w:sz w:val="20"/>
                <w:szCs w:val="20"/>
              </w:rPr>
              <w:t>41</w:t>
            </w:r>
          </w:p>
        </w:tc>
        <w:tc>
          <w:tcPr>
            <w:tcW w:w="89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管理制度健全性</w:t>
            </w:r>
          </w:p>
        </w:tc>
        <w:tc>
          <w:tcPr>
            <w:tcW w:w="36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kern w:val="0"/>
                <w:sz w:val="20"/>
                <w:szCs w:val="20"/>
              </w:rPr>
              <w:t>8</w:t>
            </w:r>
          </w:p>
        </w:tc>
        <w:tc>
          <w:tcPr>
            <w:tcW w:w="2281" w:type="dxa"/>
            <w:tcBorders>
              <w:top w:val="nil"/>
              <w:left w:val="nil"/>
              <w:bottom w:val="single" w:color="auto" w:sz="4" w:space="0"/>
              <w:right w:val="single" w:color="auto" w:sz="4" w:space="0"/>
            </w:tcBorders>
            <w:vAlign w:val="center"/>
          </w:tcPr>
          <w:p>
            <w:pPr>
              <w:widowControl/>
              <w:spacing w:line="240" w:lineRule="exact"/>
              <w:jc w:val="left"/>
              <w:rPr>
                <w:kern w:val="0"/>
                <w:sz w:val="20"/>
                <w:szCs w:val="20"/>
              </w:rPr>
            </w:pPr>
            <w:r>
              <w:rPr>
                <w:rFonts w:hint="eastAsia"/>
                <w:kern w:val="0"/>
                <w:sz w:val="20"/>
                <w:szCs w:val="20"/>
              </w:rPr>
              <w:t>①有内部财务管理制度、会计核算制度等管理制度，</w:t>
            </w:r>
            <w:r>
              <w:rPr>
                <w:kern w:val="0"/>
                <w:sz w:val="20"/>
                <w:szCs w:val="20"/>
              </w:rPr>
              <w:t>2</w:t>
            </w:r>
            <w:r>
              <w:rPr>
                <w:rFonts w:hint="eastAsia"/>
                <w:kern w:val="0"/>
                <w:sz w:val="20"/>
                <w:szCs w:val="20"/>
              </w:rPr>
              <w:t>分；</w:t>
            </w:r>
          </w:p>
          <w:p>
            <w:pPr>
              <w:widowControl/>
              <w:spacing w:line="240" w:lineRule="exact"/>
              <w:jc w:val="left"/>
              <w:rPr>
                <w:kern w:val="0"/>
                <w:sz w:val="20"/>
                <w:szCs w:val="20"/>
              </w:rPr>
            </w:pPr>
            <w:r>
              <w:rPr>
                <w:rFonts w:hint="eastAsia"/>
                <w:kern w:val="0"/>
                <w:sz w:val="20"/>
                <w:szCs w:val="20"/>
              </w:rPr>
              <w:t>②有本部门厉行节约制度，</w:t>
            </w:r>
            <w:r>
              <w:rPr>
                <w:kern w:val="0"/>
                <w:sz w:val="20"/>
                <w:szCs w:val="20"/>
              </w:rPr>
              <w:t>2</w:t>
            </w:r>
            <w:r>
              <w:rPr>
                <w:rFonts w:hint="eastAsia"/>
                <w:kern w:val="0"/>
                <w:sz w:val="20"/>
                <w:szCs w:val="20"/>
              </w:rPr>
              <w:t>分；</w:t>
            </w:r>
          </w:p>
          <w:p>
            <w:pPr>
              <w:widowControl/>
              <w:spacing w:line="240" w:lineRule="exact"/>
              <w:jc w:val="left"/>
              <w:rPr>
                <w:kern w:val="0"/>
                <w:sz w:val="20"/>
                <w:szCs w:val="20"/>
              </w:rPr>
            </w:pPr>
            <w:r>
              <w:rPr>
                <w:rFonts w:hint="eastAsia"/>
                <w:kern w:val="0"/>
                <w:sz w:val="20"/>
                <w:szCs w:val="20"/>
              </w:rPr>
              <w:t>③相关管理制度合法、合规、完整，</w:t>
            </w:r>
            <w:r>
              <w:rPr>
                <w:kern w:val="0"/>
                <w:sz w:val="20"/>
                <w:szCs w:val="20"/>
              </w:rPr>
              <w:t>2</w:t>
            </w:r>
            <w:r>
              <w:rPr>
                <w:rFonts w:hint="eastAsia"/>
                <w:kern w:val="0"/>
                <w:sz w:val="20"/>
                <w:szCs w:val="20"/>
              </w:rPr>
              <w:t>分；④相关管理制度得到有效执行，</w:t>
            </w:r>
            <w:r>
              <w:rPr>
                <w:kern w:val="0"/>
                <w:sz w:val="20"/>
                <w:szCs w:val="20"/>
              </w:rPr>
              <w:t>2</w:t>
            </w:r>
            <w:r>
              <w:rPr>
                <w:rFonts w:hint="eastAsia"/>
                <w:kern w:val="0"/>
                <w:sz w:val="20"/>
                <w:szCs w:val="20"/>
              </w:rPr>
              <w:t>分。</w:t>
            </w:r>
          </w:p>
        </w:tc>
        <w:tc>
          <w:tcPr>
            <w:tcW w:w="2306"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　</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8</w:t>
            </w:r>
          </w:p>
        </w:tc>
        <w:tc>
          <w:tcPr>
            <w:tcW w:w="2049"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0"/>
                <w:szCs w:val="20"/>
              </w:rPr>
              <w:t>有内部财务管理制度、会计核算制度等管理制度，有本部门内控制度，相关管理制度合法、合规、完整，相关管理制度得到有效执行。无部门厉行节约制度</w:t>
            </w:r>
          </w:p>
        </w:tc>
      </w:tr>
      <w:tr>
        <w:tblPrEx>
          <w:tblCellMar>
            <w:top w:w="0" w:type="dxa"/>
            <w:left w:w="108" w:type="dxa"/>
            <w:bottom w:w="0" w:type="dxa"/>
            <w:right w:w="108" w:type="dxa"/>
          </w:tblCellMar>
        </w:tblPrEx>
        <w:trPr>
          <w:trHeight w:val="157" w:hRule="atLeast"/>
        </w:trPr>
        <w:tc>
          <w:tcPr>
            <w:tcW w:w="46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438"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single" w:color="auto" w:sz="4" w:space="0"/>
              <w:left w:val="single" w:color="auto" w:sz="4" w:space="0"/>
              <w:right w:val="single" w:color="auto" w:sz="4" w:space="0"/>
            </w:tcBorders>
            <w:vAlign w:val="center"/>
          </w:tcPr>
          <w:p>
            <w:pPr>
              <w:widowControl/>
              <w:spacing w:line="280" w:lineRule="exact"/>
              <w:jc w:val="left"/>
              <w:rPr>
                <w:kern w:val="0"/>
                <w:sz w:val="20"/>
                <w:szCs w:val="20"/>
              </w:rPr>
            </w:pPr>
          </w:p>
        </w:tc>
        <w:tc>
          <w:tcPr>
            <w:tcW w:w="89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资金使用合规性</w:t>
            </w:r>
          </w:p>
        </w:tc>
        <w:tc>
          <w:tcPr>
            <w:tcW w:w="36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kern w:val="0"/>
                <w:sz w:val="20"/>
                <w:szCs w:val="20"/>
              </w:rPr>
              <w:t>6</w:t>
            </w:r>
          </w:p>
        </w:tc>
        <w:tc>
          <w:tcPr>
            <w:tcW w:w="2281" w:type="dxa"/>
            <w:tcBorders>
              <w:top w:val="nil"/>
              <w:left w:val="nil"/>
              <w:bottom w:val="single" w:color="auto" w:sz="4" w:space="0"/>
              <w:right w:val="single" w:color="auto" w:sz="4" w:space="0"/>
            </w:tcBorders>
            <w:vAlign w:val="center"/>
          </w:tcPr>
          <w:p>
            <w:pPr>
              <w:widowControl/>
              <w:spacing w:line="240" w:lineRule="exact"/>
              <w:jc w:val="left"/>
              <w:rPr>
                <w:kern w:val="0"/>
                <w:sz w:val="20"/>
                <w:szCs w:val="20"/>
              </w:rPr>
            </w:pPr>
            <w:r>
              <w:rPr>
                <w:rFonts w:hint="eastAsia"/>
                <w:kern w:val="0"/>
                <w:sz w:val="20"/>
                <w:szCs w:val="20"/>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p>
          <w:p>
            <w:pPr>
              <w:widowControl/>
              <w:spacing w:line="240" w:lineRule="exact"/>
              <w:jc w:val="left"/>
              <w:rPr>
                <w:kern w:val="0"/>
                <w:sz w:val="20"/>
                <w:szCs w:val="20"/>
              </w:rPr>
            </w:pPr>
            <w:r>
              <w:rPr>
                <w:rFonts w:hint="eastAsia"/>
                <w:kern w:val="0"/>
                <w:sz w:val="20"/>
                <w:szCs w:val="20"/>
              </w:rPr>
              <w:t>以上情况每出现一例不符合要求的扣</w:t>
            </w:r>
            <w:r>
              <w:rPr>
                <w:kern w:val="0"/>
                <w:sz w:val="20"/>
                <w:szCs w:val="20"/>
              </w:rPr>
              <w:t>1</w:t>
            </w:r>
            <w:r>
              <w:rPr>
                <w:rFonts w:hint="eastAsia"/>
                <w:kern w:val="0"/>
                <w:sz w:val="20"/>
                <w:szCs w:val="20"/>
              </w:rPr>
              <w:t>分，扣完为止。</w:t>
            </w:r>
          </w:p>
        </w:tc>
        <w:tc>
          <w:tcPr>
            <w:tcW w:w="2306"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　</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6</w:t>
            </w: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4"/>
              </w:rPr>
            </w:pPr>
            <w:r>
              <w:rPr>
                <w:rFonts w:hint="eastAsia"/>
                <w:color w:val="000000"/>
                <w:kern w:val="0"/>
                <w:sz w:val="20"/>
                <w:szCs w:val="20"/>
              </w:rPr>
              <w:t>资金使用符合国家财经法规和财务管理以及有关专项资金管理办法的规定；资金的拨付有完整的审批程序和手续；符合项目预算批复或合同规定的用途；未存在截留、挤占、挪用、虚列支出等情况。</w:t>
            </w:r>
          </w:p>
        </w:tc>
      </w:tr>
      <w:tr>
        <w:tblPrEx>
          <w:tblCellMar>
            <w:top w:w="0" w:type="dxa"/>
            <w:left w:w="108" w:type="dxa"/>
            <w:bottom w:w="0" w:type="dxa"/>
            <w:right w:w="108" w:type="dxa"/>
          </w:tblCellMar>
        </w:tblPrEx>
        <w:trPr>
          <w:trHeight w:val="1786"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438" w:type="dxa"/>
            <w:vMerge w:val="continue"/>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spacing w:val="-17"/>
                <w:kern w:val="0"/>
                <w:sz w:val="20"/>
                <w:szCs w:val="20"/>
              </w:rPr>
              <w:t>预决算信息</w:t>
            </w:r>
            <w:r>
              <w:rPr>
                <w:rFonts w:hint="eastAsia"/>
                <w:kern w:val="0"/>
                <w:sz w:val="20"/>
                <w:szCs w:val="20"/>
              </w:rPr>
              <w:t>公开性</w:t>
            </w:r>
          </w:p>
        </w:tc>
        <w:tc>
          <w:tcPr>
            <w:tcW w:w="362"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r>
              <w:rPr>
                <w:kern w:val="0"/>
                <w:sz w:val="20"/>
                <w:szCs w:val="20"/>
              </w:rPr>
              <w:t>5</w:t>
            </w:r>
          </w:p>
        </w:tc>
        <w:tc>
          <w:tcPr>
            <w:tcW w:w="2281" w:type="dxa"/>
            <w:tcBorders>
              <w:top w:val="nil"/>
              <w:left w:val="nil"/>
              <w:bottom w:val="single" w:color="auto" w:sz="4" w:space="0"/>
              <w:right w:val="single" w:color="auto" w:sz="4" w:space="0"/>
            </w:tcBorders>
            <w:vAlign w:val="center"/>
          </w:tcPr>
          <w:p>
            <w:pPr>
              <w:widowControl/>
              <w:spacing w:line="240" w:lineRule="exact"/>
              <w:jc w:val="left"/>
              <w:rPr>
                <w:kern w:val="0"/>
                <w:sz w:val="20"/>
                <w:szCs w:val="20"/>
              </w:rPr>
            </w:pPr>
            <w:r>
              <w:rPr>
                <w:rFonts w:hint="eastAsia"/>
                <w:kern w:val="0"/>
                <w:sz w:val="20"/>
                <w:szCs w:val="20"/>
              </w:rPr>
              <w:t>①按规定内容公开预决算信息，</w:t>
            </w:r>
            <w:r>
              <w:rPr>
                <w:kern w:val="0"/>
                <w:sz w:val="20"/>
                <w:szCs w:val="20"/>
              </w:rPr>
              <w:t>1</w:t>
            </w:r>
            <w:r>
              <w:rPr>
                <w:rFonts w:hint="eastAsia"/>
                <w:kern w:val="0"/>
                <w:sz w:val="20"/>
                <w:szCs w:val="20"/>
              </w:rPr>
              <w:t>分；②按规定时限公开预决算信息，</w:t>
            </w:r>
            <w:r>
              <w:rPr>
                <w:kern w:val="0"/>
                <w:sz w:val="20"/>
                <w:szCs w:val="20"/>
              </w:rPr>
              <w:t>1</w:t>
            </w:r>
            <w:r>
              <w:rPr>
                <w:rFonts w:hint="eastAsia"/>
                <w:kern w:val="0"/>
                <w:sz w:val="20"/>
                <w:szCs w:val="20"/>
              </w:rPr>
              <w:t>分；③基础数据信息和会计信息资料真实，</w:t>
            </w:r>
            <w:r>
              <w:rPr>
                <w:kern w:val="0"/>
                <w:sz w:val="20"/>
                <w:szCs w:val="20"/>
              </w:rPr>
              <w:t>1</w:t>
            </w:r>
            <w:r>
              <w:rPr>
                <w:rFonts w:hint="eastAsia"/>
                <w:kern w:val="0"/>
                <w:sz w:val="20"/>
                <w:szCs w:val="20"/>
              </w:rPr>
              <w:t>分；④基础数据信息和会计信息资料完整，</w:t>
            </w:r>
            <w:r>
              <w:rPr>
                <w:kern w:val="0"/>
                <w:sz w:val="20"/>
                <w:szCs w:val="20"/>
              </w:rPr>
              <w:t>1</w:t>
            </w:r>
            <w:r>
              <w:rPr>
                <w:rFonts w:hint="eastAsia"/>
                <w:kern w:val="0"/>
                <w:sz w:val="20"/>
                <w:szCs w:val="20"/>
              </w:rPr>
              <w:t>分；⑤基础数据信息和汇集信息资料准确，</w:t>
            </w:r>
            <w:r>
              <w:rPr>
                <w:kern w:val="0"/>
                <w:sz w:val="20"/>
                <w:szCs w:val="20"/>
              </w:rPr>
              <w:t>1</w:t>
            </w:r>
            <w:r>
              <w:rPr>
                <w:rFonts w:hint="eastAsia"/>
                <w:kern w:val="0"/>
                <w:sz w:val="20"/>
                <w:szCs w:val="20"/>
              </w:rPr>
              <w:t>分。</w:t>
            </w:r>
            <w:r>
              <w:rPr>
                <w:kern w:val="0"/>
                <w:sz w:val="20"/>
                <w:szCs w:val="20"/>
              </w:rPr>
              <w:t xml:space="preserve">  </w:t>
            </w:r>
          </w:p>
        </w:tc>
        <w:tc>
          <w:tcPr>
            <w:tcW w:w="2306"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5</w:t>
            </w: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4"/>
              </w:rPr>
            </w:pPr>
            <w:r>
              <w:rPr>
                <w:rFonts w:hint="eastAsia"/>
                <w:kern w:val="0"/>
                <w:sz w:val="24"/>
              </w:rPr>
              <w:t>按要求公开</w:t>
            </w:r>
          </w:p>
        </w:tc>
      </w:tr>
      <w:tr>
        <w:tblPrEx>
          <w:tblCellMar>
            <w:top w:w="0" w:type="dxa"/>
            <w:left w:w="108" w:type="dxa"/>
            <w:bottom w:w="0" w:type="dxa"/>
            <w:right w:w="108" w:type="dxa"/>
          </w:tblCellMar>
        </w:tblPrEx>
        <w:trPr>
          <w:trHeight w:val="157" w:hRule="atLeast"/>
        </w:trPr>
        <w:tc>
          <w:tcPr>
            <w:tcW w:w="46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产出及效率</w:t>
            </w: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kern w:val="0"/>
                <w:sz w:val="20"/>
                <w:szCs w:val="20"/>
              </w:rPr>
            </w:pPr>
            <w:r>
              <w:rPr>
                <w:kern w:val="0"/>
                <w:sz w:val="20"/>
                <w:szCs w:val="20"/>
              </w:rPr>
              <w:t>26</w:t>
            </w:r>
          </w:p>
        </w:tc>
        <w:tc>
          <w:tcPr>
            <w:tcW w:w="438"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职责履行</w:t>
            </w:r>
          </w:p>
        </w:tc>
        <w:tc>
          <w:tcPr>
            <w:tcW w:w="330"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r>
              <w:rPr>
                <w:kern w:val="0"/>
                <w:sz w:val="20"/>
                <w:szCs w:val="20"/>
              </w:rPr>
              <w:t>8</w:t>
            </w:r>
          </w:p>
        </w:tc>
        <w:tc>
          <w:tcPr>
            <w:tcW w:w="892" w:type="dxa"/>
            <w:tcBorders>
              <w:top w:val="nil"/>
              <w:left w:val="nil"/>
              <w:bottom w:val="nil"/>
              <w:right w:val="single" w:color="auto" w:sz="4" w:space="0"/>
            </w:tcBorders>
            <w:vAlign w:val="center"/>
          </w:tcPr>
          <w:p>
            <w:pPr>
              <w:widowControl/>
              <w:spacing w:line="280" w:lineRule="exact"/>
              <w:jc w:val="center"/>
              <w:rPr>
                <w:spacing w:val="-20"/>
                <w:kern w:val="0"/>
                <w:sz w:val="20"/>
                <w:szCs w:val="20"/>
              </w:rPr>
            </w:pPr>
            <w:r>
              <w:rPr>
                <w:rFonts w:hint="eastAsia"/>
                <w:spacing w:val="-20"/>
                <w:kern w:val="0"/>
                <w:sz w:val="20"/>
                <w:szCs w:val="20"/>
              </w:rPr>
              <w:t>重点工作</w:t>
            </w:r>
          </w:p>
          <w:p>
            <w:pPr>
              <w:widowControl/>
              <w:spacing w:line="280" w:lineRule="exact"/>
              <w:jc w:val="center"/>
              <w:rPr>
                <w:kern w:val="0"/>
                <w:sz w:val="20"/>
                <w:szCs w:val="20"/>
              </w:rPr>
            </w:pPr>
            <w:r>
              <w:rPr>
                <w:rFonts w:hint="eastAsia"/>
                <w:spacing w:val="-20"/>
                <w:kern w:val="0"/>
                <w:sz w:val="20"/>
                <w:szCs w:val="20"/>
              </w:rPr>
              <w:t>实际完成率</w:t>
            </w:r>
          </w:p>
        </w:tc>
        <w:tc>
          <w:tcPr>
            <w:tcW w:w="362"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r>
              <w:rPr>
                <w:kern w:val="0"/>
                <w:sz w:val="20"/>
                <w:szCs w:val="20"/>
              </w:rPr>
              <w:t>8</w:t>
            </w:r>
          </w:p>
        </w:tc>
        <w:tc>
          <w:tcPr>
            <w:tcW w:w="2281" w:type="dxa"/>
            <w:tcBorders>
              <w:top w:val="nil"/>
              <w:left w:val="nil"/>
              <w:bottom w:val="single" w:color="auto" w:sz="4" w:space="0"/>
              <w:right w:val="single" w:color="auto" w:sz="4" w:space="0"/>
            </w:tcBorders>
            <w:vAlign w:val="center"/>
          </w:tcPr>
          <w:p>
            <w:pPr>
              <w:widowControl/>
              <w:spacing w:line="240" w:lineRule="exact"/>
              <w:jc w:val="left"/>
              <w:rPr>
                <w:kern w:val="0"/>
                <w:sz w:val="20"/>
                <w:szCs w:val="20"/>
              </w:rPr>
            </w:pPr>
            <w:r>
              <w:rPr>
                <w:rFonts w:hint="eastAsia"/>
                <w:kern w:val="0"/>
                <w:sz w:val="20"/>
                <w:szCs w:val="20"/>
              </w:rPr>
              <w:t>根据绩效办对各部门为民办实事和部门重点工程与重点工作考核分数折算。</w:t>
            </w:r>
          </w:p>
          <w:p>
            <w:pPr>
              <w:widowControl/>
              <w:spacing w:line="240" w:lineRule="exact"/>
              <w:jc w:val="left"/>
              <w:rPr>
                <w:kern w:val="0"/>
                <w:sz w:val="20"/>
                <w:szCs w:val="20"/>
              </w:rPr>
            </w:pPr>
            <w:r>
              <w:rPr>
                <w:rFonts w:hint="eastAsia"/>
                <w:kern w:val="0"/>
                <w:sz w:val="20"/>
                <w:szCs w:val="20"/>
              </w:rPr>
              <w:t>该项得分</w:t>
            </w:r>
            <w:r>
              <w:rPr>
                <w:kern w:val="0"/>
                <w:sz w:val="20"/>
                <w:szCs w:val="20"/>
              </w:rPr>
              <w:t>=</w:t>
            </w:r>
            <w:r>
              <w:rPr>
                <w:rFonts w:hint="eastAsia"/>
                <w:kern w:val="0"/>
                <w:sz w:val="20"/>
                <w:szCs w:val="20"/>
              </w:rPr>
              <w:t>（绩效办对应部分考核得分</w:t>
            </w:r>
            <w:r>
              <w:rPr>
                <w:kern w:val="0"/>
                <w:sz w:val="20"/>
                <w:szCs w:val="20"/>
              </w:rPr>
              <w:t>/350</w:t>
            </w:r>
            <w:r>
              <w:rPr>
                <w:rFonts w:hint="eastAsia"/>
                <w:kern w:val="0"/>
                <w:sz w:val="20"/>
                <w:szCs w:val="20"/>
              </w:rPr>
              <w:t>）</w:t>
            </w:r>
            <w:r>
              <w:rPr>
                <w:kern w:val="0"/>
                <w:sz w:val="20"/>
                <w:szCs w:val="20"/>
              </w:rPr>
              <w:t>*8</w:t>
            </w:r>
          </w:p>
        </w:tc>
        <w:tc>
          <w:tcPr>
            <w:tcW w:w="2306"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　</w:t>
            </w: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2.01</w:t>
            </w: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4"/>
              </w:rPr>
            </w:pPr>
            <w:r>
              <w:rPr>
                <w:rFonts w:hint="eastAsia"/>
                <w:kern w:val="0"/>
                <w:sz w:val="24"/>
              </w:rPr>
              <w:t>（88/350）</w:t>
            </w:r>
            <w:r>
              <w:rPr>
                <w:kern w:val="0"/>
                <w:sz w:val="24"/>
              </w:rPr>
              <w:t>×</w:t>
            </w:r>
            <w:r>
              <w:rPr>
                <w:rFonts w:hint="eastAsia"/>
                <w:kern w:val="0"/>
                <w:sz w:val="24"/>
              </w:rPr>
              <w:t>8=2.01</w:t>
            </w:r>
          </w:p>
        </w:tc>
      </w:tr>
      <w:tr>
        <w:tblPrEx>
          <w:tblCellMar>
            <w:top w:w="0" w:type="dxa"/>
            <w:left w:w="108" w:type="dxa"/>
            <w:bottom w:w="0" w:type="dxa"/>
            <w:right w:w="108" w:type="dxa"/>
          </w:tblCellMar>
        </w:tblPrEx>
        <w:trPr>
          <w:trHeight w:val="389"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43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履职</w:t>
            </w:r>
            <w:r>
              <w:rPr>
                <w:kern w:val="0"/>
                <w:sz w:val="20"/>
                <w:szCs w:val="20"/>
              </w:rPr>
              <w:t xml:space="preserve"> </w:t>
            </w:r>
            <w:r>
              <w:rPr>
                <w:rFonts w:hint="eastAsia"/>
                <w:kern w:val="0"/>
                <w:sz w:val="20"/>
                <w:szCs w:val="20"/>
              </w:rPr>
              <w:t>效益</w:t>
            </w: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kern w:val="0"/>
                <w:sz w:val="20"/>
                <w:szCs w:val="20"/>
              </w:rPr>
            </w:pPr>
            <w:r>
              <w:rPr>
                <w:kern w:val="0"/>
                <w:sz w:val="20"/>
                <w:szCs w:val="20"/>
              </w:rPr>
              <w:t>6</w:t>
            </w:r>
          </w:p>
        </w:tc>
        <w:tc>
          <w:tcPr>
            <w:tcW w:w="89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经济效益</w:t>
            </w:r>
          </w:p>
        </w:tc>
        <w:tc>
          <w:tcPr>
            <w:tcW w:w="362" w:type="dxa"/>
            <w:vMerge w:val="restart"/>
            <w:tcBorders>
              <w:top w:val="nil"/>
              <w:left w:val="single" w:color="auto" w:sz="4" w:space="0"/>
              <w:bottom w:val="nil"/>
              <w:right w:val="single" w:color="auto" w:sz="4" w:space="0"/>
            </w:tcBorders>
            <w:vAlign w:val="center"/>
          </w:tcPr>
          <w:p>
            <w:pPr>
              <w:widowControl/>
              <w:spacing w:line="280" w:lineRule="exact"/>
              <w:jc w:val="center"/>
              <w:rPr>
                <w:kern w:val="0"/>
                <w:sz w:val="20"/>
                <w:szCs w:val="20"/>
              </w:rPr>
            </w:pPr>
            <w:r>
              <w:rPr>
                <w:kern w:val="0"/>
                <w:sz w:val="20"/>
                <w:szCs w:val="20"/>
              </w:rPr>
              <w:t>6</w:t>
            </w:r>
          </w:p>
        </w:tc>
        <w:tc>
          <w:tcPr>
            <w:tcW w:w="458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kern w:val="0"/>
                <w:sz w:val="20"/>
                <w:szCs w:val="20"/>
              </w:rPr>
            </w:pPr>
            <w:r>
              <w:rPr>
                <w:rFonts w:hint="eastAsia"/>
                <w:kern w:val="0"/>
                <w:sz w:val="20"/>
                <w:szCs w:val="20"/>
              </w:rPr>
              <w:t>此两项指标为设置部门整体支出绩效评价指标时必须考虑的共性要素，可根据部门实际情况有选择的进行设置，并将其细化为相应的个性化指标。</w:t>
            </w:r>
          </w:p>
        </w:tc>
        <w:tc>
          <w:tcPr>
            <w:tcW w:w="488" w:type="dxa"/>
            <w:vMerge w:val="restart"/>
            <w:tcBorders>
              <w:top w:val="nil"/>
              <w:left w:val="nil"/>
              <w:right w:val="single" w:color="auto" w:sz="4" w:space="0"/>
            </w:tcBorders>
            <w:vAlign w:val="center"/>
          </w:tcPr>
          <w:p>
            <w:pPr>
              <w:widowControl/>
              <w:spacing w:line="280" w:lineRule="exact"/>
              <w:jc w:val="left"/>
              <w:rPr>
                <w:kern w:val="0"/>
                <w:sz w:val="24"/>
              </w:rPr>
            </w:pPr>
            <w:r>
              <w:rPr>
                <w:rFonts w:hint="eastAsia"/>
                <w:kern w:val="0"/>
                <w:sz w:val="24"/>
              </w:rPr>
              <w:t>　6</w:t>
            </w:r>
          </w:p>
        </w:tc>
        <w:tc>
          <w:tcPr>
            <w:tcW w:w="2049" w:type="dxa"/>
            <w:vMerge w:val="restart"/>
            <w:tcBorders>
              <w:top w:val="nil"/>
              <w:left w:val="nil"/>
              <w:right w:val="single" w:color="auto" w:sz="4" w:space="0"/>
            </w:tcBorders>
            <w:vAlign w:val="center"/>
          </w:tcPr>
          <w:p>
            <w:pPr>
              <w:widowControl/>
              <w:spacing w:line="280" w:lineRule="exact"/>
              <w:rPr>
                <w:kern w:val="0"/>
                <w:sz w:val="24"/>
              </w:rPr>
            </w:pPr>
            <w:r>
              <w:rPr>
                <w:rFonts w:hint="eastAsia"/>
                <w:kern w:val="0"/>
                <w:sz w:val="18"/>
                <w:szCs w:val="18"/>
              </w:rPr>
              <w:t>保证</w:t>
            </w:r>
            <w:r>
              <w:rPr>
                <w:kern w:val="0"/>
                <w:sz w:val="18"/>
                <w:szCs w:val="18"/>
              </w:rPr>
              <w:t>201</w:t>
            </w:r>
            <w:r>
              <w:rPr>
                <w:rFonts w:hint="eastAsia"/>
                <w:kern w:val="0"/>
                <w:sz w:val="18"/>
                <w:szCs w:val="18"/>
              </w:rPr>
              <w:t>8年承包范围内的环境卫生质量和垃圾中转站垃圾及时规范转运</w:t>
            </w:r>
          </w:p>
        </w:tc>
      </w:tr>
      <w:tr>
        <w:tblPrEx>
          <w:tblCellMar>
            <w:top w:w="0" w:type="dxa"/>
            <w:left w:w="108" w:type="dxa"/>
            <w:bottom w:w="0" w:type="dxa"/>
            <w:right w:w="108" w:type="dxa"/>
          </w:tblCellMar>
        </w:tblPrEx>
        <w:trPr>
          <w:trHeight w:val="157"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43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r>
              <w:rPr>
                <w:rFonts w:hint="eastAsia"/>
                <w:kern w:val="0"/>
                <w:sz w:val="20"/>
                <w:szCs w:val="20"/>
              </w:rPr>
              <w:t>社会效益</w:t>
            </w:r>
          </w:p>
        </w:tc>
        <w:tc>
          <w:tcPr>
            <w:tcW w:w="362" w:type="dxa"/>
            <w:vMerge w:val="continue"/>
            <w:tcBorders>
              <w:top w:val="nil"/>
              <w:left w:val="single" w:color="auto" w:sz="4" w:space="0"/>
              <w:bottom w:val="nil"/>
              <w:right w:val="single" w:color="auto" w:sz="4" w:space="0"/>
            </w:tcBorders>
            <w:vAlign w:val="center"/>
          </w:tcPr>
          <w:p>
            <w:pPr>
              <w:widowControl/>
              <w:spacing w:line="280" w:lineRule="exact"/>
              <w:jc w:val="left"/>
              <w:rPr>
                <w:kern w:val="0"/>
                <w:sz w:val="20"/>
                <w:szCs w:val="20"/>
              </w:rPr>
            </w:pPr>
          </w:p>
        </w:tc>
        <w:tc>
          <w:tcPr>
            <w:tcW w:w="458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kern w:val="0"/>
                <w:sz w:val="20"/>
                <w:szCs w:val="20"/>
              </w:rPr>
            </w:pPr>
          </w:p>
        </w:tc>
        <w:tc>
          <w:tcPr>
            <w:tcW w:w="488" w:type="dxa"/>
            <w:vMerge w:val="continue"/>
            <w:tcBorders>
              <w:left w:val="nil"/>
              <w:bottom w:val="nil"/>
              <w:right w:val="single" w:color="auto" w:sz="4" w:space="0"/>
            </w:tcBorders>
            <w:vAlign w:val="center"/>
          </w:tcPr>
          <w:p>
            <w:pPr>
              <w:widowControl/>
              <w:spacing w:line="280" w:lineRule="exact"/>
              <w:jc w:val="left"/>
              <w:rPr>
                <w:kern w:val="0"/>
                <w:sz w:val="24"/>
              </w:rPr>
            </w:pPr>
          </w:p>
        </w:tc>
        <w:tc>
          <w:tcPr>
            <w:tcW w:w="2049" w:type="dxa"/>
            <w:vMerge w:val="continue"/>
            <w:tcBorders>
              <w:left w:val="nil"/>
              <w:bottom w:val="nil"/>
              <w:right w:val="single" w:color="auto" w:sz="4" w:space="0"/>
            </w:tcBorders>
            <w:vAlign w:val="center"/>
          </w:tcPr>
          <w:p>
            <w:pPr>
              <w:widowControl/>
              <w:spacing w:line="280" w:lineRule="exact"/>
              <w:rPr>
                <w:kern w:val="0"/>
                <w:sz w:val="24"/>
              </w:rPr>
            </w:pPr>
          </w:p>
        </w:tc>
      </w:tr>
      <w:tr>
        <w:tblPrEx>
          <w:tblCellMar>
            <w:top w:w="0" w:type="dxa"/>
            <w:left w:w="108" w:type="dxa"/>
            <w:bottom w:w="0" w:type="dxa"/>
            <w:right w:w="108" w:type="dxa"/>
          </w:tblCellMar>
        </w:tblPrEx>
        <w:trPr>
          <w:trHeight w:val="157" w:hRule="atLeast"/>
        </w:trPr>
        <w:tc>
          <w:tcPr>
            <w:tcW w:w="46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43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kern w:val="0"/>
                <w:sz w:val="20"/>
                <w:szCs w:val="20"/>
              </w:rPr>
            </w:pPr>
          </w:p>
        </w:tc>
        <w:tc>
          <w:tcPr>
            <w:tcW w:w="330"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kern w:val="0"/>
                <w:sz w:val="20"/>
                <w:szCs w:val="20"/>
              </w:rPr>
            </w:pPr>
            <w:r>
              <w:rPr>
                <w:kern w:val="0"/>
                <w:sz w:val="20"/>
                <w:szCs w:val="20"/>
              </w:rPr>
              <w:t>12</w:t>
            </w:r>
          </w:p>
        </w:tc>
        <w:tc>
          <w:tcPr>
            <w:tcW w:w="892"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行政效能</w:t>
            </w:r>
          </w:p>
        </w:tc>
        <w:tc>
          <w:tcPr>
            <w:tcW w:w="362"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 w:val="20"/>
                <w:szCs w:val="20"/>
              </w:rPr>
            </w:pPr>
            <w:r>
              <w:rPr>
                <w:kern w:val="0"/>
                <w:sz w:val="20"/>
                <w:szCs w:val="20"/>
              </w:rPr>
              <w:t>6</w:t>
            </w:r>
          </w:p>
        </w:tc>
        <w:tc>
          <w:tcPr>
            <w:tcW w:w="2281" w:type="dxa"/>
            <w:tcBorders>
              <w:top w:val="single" w:color="auto" w:sz="4" w:space="0"/>
              <w:left w:val="nil"/>
              <w:bottom w:val="single" w:color="auto" w:sz="4" w:space="0"/>
              <w:right w:val="single" w:color="auto" w:sz="4" w:space="0"/>
            </w:tcBorders>
            <w:vAlign w:val="center"/>
          </w:tcPr>
          <w:p>
            <w:pPr>
              <w:widowControl/>
              <w:spacing w:line="240" w:lineRule="exact"/>
              <w:jc w:val="left"/>
              <w:rPr>
                <w:kern w:val="0"/>
                <w:sz w:val="20"/>
                <w:szCs w:val="20"/>
              </w:rPr>
            </w:pPr>
            <w:r>
              <w:rPr>
                <w:rFonts w:hint="eastAsia"/>
                <w:kern w:val="0"/>
                <w:sz w:val="20"/>
                <w:szCs w:val="20"/>
              </w:rPr>
              <w:t>促进部门改进文风会风，加强经费及资产管理，推动网上办事，提高行政效率，降低行政成本效果较好的计</w:t>
            </w:r>
            <w:r>
              <w:rPr>
                <w:kern w:val="0"/>
                <w:sz w:val="20"/>
                <w:szCs w:val="20"/>
              </w:rPr>
              <w:t>6</w:t>
            </w:r>
            <w:r>
              <w:rPr>
                <w:rFonts w:hint="eastAsia"/>
                <w:kern w:val="0"/>
                <w:sz w:val="20"/>
                <w:szCs w:val="20"/>
              </w:rPr>
              <w:t>分；一般</w:t>
            </w:r>
            <w:r>
              <w:rPr>
                <w:kern w:val="0"/>
                <w:sz w:val="20"/>
                <w:szCs w:val="20"/>
              </w:rPr>
              <w:t>3</w:t>
            </w:r>
            <w:r>
              <w:rPr>
                <w:rFonts w:hint="eastAsia"/>
                <w:kern w:val="0"/>
                <w:sz w:val="20"/>
                <w:szCs w:val="20"/>
              </w:rPr>
              <w:t>分；无效果或者效果不明显</w:t>
            </w:r>
            <w:r>
              <w:rPr>
                <w:kern w:val="0"/>
                <w:sz w:val="20"/>
                <w:szCs w:val="20"/>
              </w:rPr>
              <w:t>0</w:t>
            </w:r>
            <w:r>
              <w:rPr>
                <w:rFonts w:hint="eastAsia"/>
                <w:kern w:val="0"/>
                <w:sz w:val="20"/>
                <w:szCs w:val="20"/>
              </w:rPr>
              <w:t>分。</w:t>
            </w:r>
          </w:p>
        </w:tc>
        <w:tc>
          <w:tcPr>
            <w:tcW w:w="2306"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 w:val="20"/>
                <w:szCs w:val="20"/>
              </w:rPr>
            </w:pPr>
            <w:r>
              <w:rPr>
                <w:rFonts w:hint="eastAsia"/>
                <w:kern w:val="0"/>
                <w:sz w:val="20"/>
                <w:szCs w:val="20"/>
              </w:rPr>
              <w:t>根据部门自评材料评定。</w:t>
            </w:r>
          </w:p>
        </w:tc>
        <w:tc>
          <w:tcPr>
            <w:tcW w:w="488"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 w:val="24"/>
              </w:rPr>
            </w:pPr>
            <w:r>
              <w:rPr>
                <w:rFonts w:hint="eastAsia"/>
                <w:kern w:val="0"/>
                <w:sz w:val="24"/>
              </w:rPr>
              <w:t>　6</w:t>
            </w:r>
          </w:p>
        </w:tc>
        <w:tc>
          <w:tcPr>
            <w:tcW w:w="2049" w:type="dxa"/>
            <w:tcBorders>
              <w:top w:val="single" w:color="auto" w:sz="4" w:space="0"/>
              <w:left w:val="nil"/>
              <w:bottom w:val="single" w:color="auto" w:sz="4" w:space="0"/>
              <w:right w:val="single" w:color="auto" w:sz="4" w:space="0"/>
            </w:tcBorders>
            <w:vAlign w:val="center"/>
          </w:tcPr>
          <w:p>
            <w:pPr>
              <w:widowControl/>
              <w:spacing w:line="280" w:lineRule="exact"/>
              <w:rPr>
                <w:kern w:val="0"/>
                <w:sz w:val="24"/>
              </w:rPr>
            </w:pPr>
            <w:r>
              <w:rPr>
                <w:rFonts w:hint="eastAsia"/>
                <w:color w:val="000000"/>
                <w:kern w:val="0"/>
                <w:sz w:val="20"/>
                <w:szCs w:val="20"/>
              </w:rPr>
              <w:t>根据实际情况修改内控手册，提高了行政管理效能</w:t>
            </w:r>
          </w:p>
        </w:tc>
      </w:tr>
      <w:tr>
        <w:tblPrEx>
          <w:tblCellMar>
            <w:top w:w="0" w:type="dxa"/>
            <w:left w:w="108" w:type="dxa"/>
            <w:bottom w:w="0" w:type="dxa"/>
            <w:right w:w="108" w:type="dxa"/>
          </w:tblCellMar>
        </w:tblPrEx>
        <w:trPr>
          <w:trHeight w:val="1364" w:hRule="atLeast"/>
        </w:trPr>
        <w:tc>
          <w:tcPr>
            <w:tcW w:w="468" w:type="dxa"/>
            <w:vMerge w:val="continue"/>
            <w:tcBorders>
              <w:top w:val="nil"/>
              <w:left w:val="single" w:color="auto" w:sz="4" w:space="0"/>
              <w:bottom w:val="nil"/>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nil"/>
              <w:right w:val="single" w:color="auto" w:sz="4" w:space="0"/>
            </w:tcBorders>
            <w:vAlign w:val="center"/>
          </w:tcPr>
          <w:p>
            <w:pPr>
              <w:widowControl/>
              <w:spacing w:line="280" w:lineRule="exact"/>
              <w:jc w:val="left"/>
              <w:rPr>
                <w:kern w:val="0"/>
                <w:sz w:val="20"/>
                <w:szCs w:val="20"/>
              </w:rPr>
            </w:pPr>
          </w:p>
        </w:tc>
        <w:tc>
          <w:tcPr>
            <w:tcW w:w="438" w:type="dxa"/>
            <w:vMerge w:val="continue"/>
            <w:tcBorders>
              <w:top w:val="nil"/>
              <w:left w:val="single" w:color="auto" w:sz="4" w:space="0"/>
              <w:bottom w:val="nil"/>
              <w:right w:val="single" w:color="auto" w:sz="4" w:space="0"/>
            </w:tcBorders>
            <w:vAlign w:val="center"/>
          </w:tcPr>
          <w:p>
            <w:pPr>
              <w:widowControl/>
              <w:spacing w:line="280" w:lineRule="exact"/>
              <w:jc w:val="left"/>
              <w:rPr>
                <w:kern w:val="0"/>
                <w:sz w:val="20"/>
                <w:szCs w:val="20"/>
              </w:rPr>
            </w:pPr>
          </w:p>
        </w:tc>
        <w:tc>
          <w:tcPr>
            <w:tcW w:w="330" w:type="dxa"/>
            <w:vMerge w:val="continue"/>
            <w:tcBorders>
              <w:top w:val="nil"/>
              <w:left w:val="single" w:color="auto" w:sz="4" w:space="0"/>
              <w:bottom w:val="nil"/>
              <w:right w:val="single" w:color="auto" w:sz="4" w:space="0"/>
            </w:tcBorders>
            <w:vAlign w:val="center"/>
          </w:tcPr>
          <w:p>
            <w:pPr>
              <w:widowControl/>
              <w:spacing w:line="280" w:lineRule="exact"/>
              <w:jc w:val="left"/>
              <w:rPr>
                <w:kern w:val="0"/>
                <w:sz w:val="20"/>
                <w:szCs w:val="20"/>
              </w:rPr>
            </w:pPr>
          </w:p>
        </w:tc>
        <w:tc>
          <w:tcPr>
            <w:tcW w:w="892" w:type="dxa"/>
            <w:tcBorders>
              <w:top w:val="nil"/>
              <w:left w:val="nil"/>
              <w:bottom w:val="nil"/>
              <w:right w:val="single" w:color="auto" w:sz="4" w:space="0"/>
            </w:tcBorders>
            <w:vAlign w:val="center"/>
          </w:tcPr>
          <w:p>
            <w:pPr>
              <w:widowControl/>
              <w:spacing w:line="280" w:lineRule="exact"/>
              <w:jc w:val="left"/>
              <w:rPr>
                <w:kern w:val="0"/>
                <w:sz w:val="20"/>
                <w:szCs w:val="20"/>
              </w:rPr>
            </w:pPr>
            <w:r>
              <w:rPr>
                <w:rFonts w:hint="eastAsia"/>
                <w:kern w:val="0"/>
                <w:sz w:val="20"/>
                <w:szCs w:val="20"/>
              </w:rPr>
              <w:t>社会公众或服务对象满意度</w:t>
            </w:r>
          </w:p>
        </w:tc>
        <w:tc>
          <w:tcPr>
            <w:tcW w:w="362" w:type="dxa"/>
            <w:tcBorders>
              <w:top w:val="nil"/>
              <w:left w:val="nil"/>
              <w:bottom w:val="nil"/>
              <w:right w:val="single" w:color="auto" w:sz="4" w:space="0"/>
            </w:tcBorders>
            <w:vAlign w:val="center"/>
          </w:tcPr>
          <w:p>
            <w:pPr>
              <w:widowControl/>
              <w:spacing w:line="280" w:lineRule="exact"/>
              <w:jc w:val="center"/>
              <w:rPr>
                <w:kern w:val="0"/>
                <w:sz w:val="20"/>
                <w:szCs w:val="20"/>
              </w:rPr>
            </w:pPr>
            <w:r>
              <w:rPr>
                <w:kern w:val="0"/>
                <w:sz w:val="20"/>
                <w:szCs w:val="20"/>
              </w:rPr>
              <w:t>6</w:t>
            </w:r>
          </w:p>
        </w:tc>
        <w:tc>
          <w:tcPr>
            <w:tcW w:w="2281" w:type="dxa"/>
            <w:tcBorders>
              <w:top w:val="nil"/>
              <w:left w:val="nil"/>
              <w:bottom w:val="nil"/>
              <w:right w:val="single" w:color="auto" w:sz="4" w:space="0"/>
            </w:tcBorders>
            <w:vAlign w:val="center"/>
          </w:tcPr>
          <w:p>
            <w:pPr>
              <w:widowControl/>
              <w:spacing w:line="240" w:lineRule="exact"/>
              <w:jc w:val="left"/>
              <w:rPr>
                <w:kern w:val="0"/>
                <w:sz w:val="20"/>
                <w:szCs w:val="20"/>
              </w:rPr>
            </w:pPr>
            <w:r>
              <w:rPr>
                <w:kern w:val="0"/>
                <w:sz w:val="20"/>
                <w:szCs w:val="20"/>
              </w:rPr>
              <w:t>90%</w:t>
            </w:r>
            <w:r>
              <w:rPr>
                <w:rFonts w:hint="eastAsia"/>
                <w:kern w:val="0"/>
                <w:sz w:val="20"/>
                <w:szCs w:val="20"/>
              </w:rPr>
              <w:t>（含）以上计</w:t>
            </w:r>
            <w:r>
              <w:rPr>
                <w:kern w:val="0"/>
                <w:sz w:val="20"/>
                <w:szCs w:val="20"/>
              </w:rPr>
              <w:t>6</w:t>
            </w:r>
            <w:r>
              <w:rPr>
                <w:rFonts w:hint="eastAsia"/>
                <w:kern w:val="0"/>
                <w:sz w:val="20"/>
                <w:szCs w:val="20"/>
              </w:rPr>
              <w:t>分；</w:t>
            </w:r>
          </w:p>
          <w:p>
            <w:pPr>
              <w:widowControl/>
              <w:spacing w:line="240" w:lineRule="exact"/>
              <w:jc w:val="left"/>
              <w:rPr>
                <w:kern w:val="0"/>
                <w:sz w:val="20"/>
                <w:szCs w:val="20"/>
              </w:rPr>
            </w:pPr>
            <w:r>
              <w:rPr>
                <w:kern w:val="0"/>
                <w:sz w:val="20"/>
                <w:szCs w:val="20"/>
              </w:rPr>
              <w:t>80%</w:t>
            </w:r>
            <w:r>
              <w:rPr>
                <w:rFonts w:hint="eastAsia"/>
                <w:kern w:val="0"/>
                <w:sz w:val="20"/>
                <w:szCs w:val="20"/>
              </w:rPr>
              <w:t>（含）</w:t>
            </w:r>
            <w:r>
              <w:rPr>
                <w:kern w:val="0"/>
                <w:sz w:val="20"/>
                <w:szCs w:val="20"/>
              </w:rPr>
              <w:t>-90%</w:t>
            </w:r>
            <w:r>
              <w:rPr>
                <w:rFonts w:hint="eastAsia"/>
                <w:kern w:val="0"/>
                <w:sz w:val="20"/>
                <w:szCs w:val="20"/>
              </w:rPr>
              <w:t>，计</w:t>
            </w:r>
            <w:r>
              <w:rPr>
                <w:kern w:val="0"/>
                <w:sz w:val="20"/>
                <w:szCs w:val="20"/>
              </w:rPr>
              <w:t>4</w:t>
            </w:r>
            <w:r>
              <w:rPr>
                <w:rFonts w:hint="eastAsia"/>
                <w:kern w:val="0"/>
                <w:sz w:val="20"/>
                <w:szCs w:val="20"/>
              </w:rPr>
              <w:t>分；</w:t>
            </w:r>
          </w:p>
          <w:p>
            <w:pPr>
              <w:widowControl/>
              <w:spacing w:line="240" w:lineRule="exact"/>
              <w:jc w:val="left"/>
              <w:rPr>
                <w:kern w:val="0"/>
                <w:sz w:val="20"/>
                <w:szCs w:val="20"/>
              </w:rPr>
            </w:pPr>
            <w:r>
              <w:rPr>
                <w:kern w:val="0"/>
                <w:sz w:val="20"/>
                <w:szCs w:val="20"/>
              </w:rPr>
              <w:t>70%</w:t>
            </w:r>
            <w:r>
              <w:rPr>
                <w:rFonts w:hint="eastAsia"/>
                <w:kern w:val="0"/>
                <w:sz w:val="20"/>
                <w:szCs w:val="20"/>
              </w:rPr>
              <w:t>（含）</w:t>
            </w:r>
            <w:r>
              <w:rPr>
                <w:kern w:val="0"/>
                <w:sz w:val="20"/>
                <w:szCs w:val="20"/>
              </w:rPr>
              <w:t>-80%</w:t>
            </w:r>
            <w:r>
              <w:rPr>
                <w:rFonts w:hint="eastAsia"/>
                <w:kern w:val="0"/>
                <w:sz w:val="20"/>
                <w:szCs w:val="20"/>
              </w:rPr>
              <w:t>，计</w:t>
            </w:r>
            <w:r>
              <w:rPr>
                <w:kern w:val="0"/>
                <w:sz w:val="20"/>
                <w:szCs w:val="20"/>
              </w:rPr>
              <w:t>2</w:t>
            </w:r>
            <w:r>
              <w:rPr>
                <w:rFonts w:hint="eastAsia"/>
                <w:kern w:val="0"/>
                <w:sz w:val="20"/>
                <w:szCs w:val="20"/>
              </w:rPr>
              <w:t>分；</w:t>
            </w:r>
          </w:p>
          <w:p>
            <w:pPr>
              <w:widowControl/>
              <w:spacing w:line="240" w:lineRule="exact"/>
              <w:jc w:val="left"/>
              <w:rPr>
                <w:kern w:val="0"/>
                <w:sz w:val="20"/>
                <w:szCs w:val="20"/>
              </w:rPr>
            </w:pPr>
            <w:r>
              <w:rPr>
                <w:rFonts w:hint="eastAsia"/>
                <w:kern w:val="0"/>
                <w:sz w:val="20"/>
                <w:szCs w:val="20"/>
              </w:rPr>
              <w:t>低于</w:t>
            </w:r>
            <w:r>
              <w:rPr>
                <w:kern w:val="0"/>
                <w:sz w:val="20"/>
                <w:szCs w:val="20"/>
              </w:rPr>
              <w:t>70%</w:t>
            </w:r>
            <w:r>
              <w:rPr>
                <w:rFonts w:hint="eastAsia"/>
                <w:kern w:val="0"/>
                <w:sz w:val="20"/>
                <w:szCs w:val="20"/>
              </w:rPr>
              <w:t>计</w:t>
            </w:r>
            <w:r>
              <w:rPr>
                <w:kern w:val="0"/>
                <w:sz w:val="20"/>
                <w:szCs w:val="20"/>
              </w:rPr>
              <w:t>0</w:t>
            </w:r>
            <w:r>
              <w:rPr>
                <w:rFonts w:hint="eastAsia"/>
                <w:kern w:val="0"/>
                <w:sz w:val="20"/>
                <w:szCs w:val="20"/>
              </w:rPr>
              <w:t>分。</w:t>
            </w:r>
          </w:p>
        </w:tc>
        <w:tc>
          <w:tcPr>
            <w:tcW w:w="2306" w:type="dxa"/>
            <w:tcBorders>
              <w:top w:val="nil"/>
              <w:left w:val="nil"/>
              <w:bottom w:val="nil"/>
              <w:right w:val="single" w:color="auto" w:sz="4" w:space="0"/>
            </w:tcBorders>
            <w:vAlign w:val="center"/>
          </w:tcPr>
          <w:p>
            <w:pPr>
              <w:widowControl/>
              <w:spacing w:line="280" w:lineRule="exact"/>
              <w:jc w:val="left"/>
              <w:rPr>
                <w:kern w:val="0"/>
                <w:sz w:val="20"/>
                <w:szCs w:val="20"/>
              </w:rPr>
            </w:pPr>
            <w:r>
              <w:rPr>
                <w:rFonts w:hint="eastAsia"/>
                <w:kern w:val="0"/>
                <w:sz w:val="20"/>
                <w:szCs w:val="20"/>
              </w:rPr>
              <w:t>社会公众或服务对象是指部门（单位）履行职责而影响到的部门、群体或个人，一般采取社会调查的方式。</w:t>
            </w:r>
          </w:p>
        </w:tc>
        <w:tc>
          <w:tcPr>
            <w:tcW w:w="488" w:type="dxa"/>
            <w:tcBorders>
              <w:top w:val="nil"/>
              <w:left w:val="nil"/>
              <w:bottom w:val="nil"/>
              <w:right w:val="single" w:color="auto" w:sz="4" w:space="0"/>
            </w:tcBorders>
            <w:vAlign w:val="center"/>
          </w:tcPr>
          <w:p>
            <w:pPr>
              <w:widowControl/>
              <w:spacing w:line="280" w:lineRule="exact"/>
              <w:jc w:val="left"/>
              <w:rPr>
                <w:kern w:val="0"/>
                <w:sz w:val="24"/>
              </w:rPr>
            </w:pPr>
            <w:r>
              <w:rPr>
                <w:rFonts w:hint="eastAsia"/>
                <w:kern w:val="0"/>
                <w:sz w:val="24"/>
              </w:rPr>
              <w:t>　6</w:t>
            </w:r>
          </w:p>
        </w:tc>
        <w:tc>
          <w:tcPr>
            <w:tcW w:w="2049" w:type="dxa"/>
            <w:tcBorders>
              <w:top w:val="nil"/>
              <w:left w:val="nil"/>
              <w:bottom w:val="nil"/>
              <w:right w:val="single" w:color="auto" w:sz="4" w:space="0"/>
            </w:tcBorders>
            <w:vAlign w:val="center"/>
          </w:tcPr>
          <w:p>
            <w:pPr>
              <w:widowControl/>
              <w:spacing w:line="280" w:lineRule="exact"/>
              <w:rPr>
                <w:kern w:val="0"/>
                <w:sz w:val="20"/>
                <w:szCs w:val="20"/>
              </w:rPr>
            </w:pPr>
            <w:r>
              <w:rPr>
                <w:rFonts w:hint="eastAsia"/>
                <w:kern w:val="0"/>
                <w:sz w:val="20"/>
                <w:szCs w:val="20"/>
              </w:rPr>
              <w:t>市对区季度城市管理考核一、三、四季度排名第一，文明指数实地测评工作三、四季度排名第一。</w:t>
            </w:r>
          </w:p>
        </w:tc>
      </w:tr>
      <w:tr>
        <w:tblPrEx>
          <w:tblCellMar>
            <w:top w:w="0" w:type="dxa"/>
            <w:left w:w="108" w:type="dxa"/>
            <w:bottom w:w="0" w:type="dxa"/>
            <w:right w:w="108" w:type="dxa"/>
          </w:tblCellMar>
        </w:tblPrEx>
        <w:trPr>
          <w:trHeight w:val="519" w:hRule="atLeast"/>
        </w:trPr>
        <w:tc>
          <w:tcPr>
            <w:tcW w:w="468" w:type="dxa"/>
            <w:tcBorders>
              <w:top w:val="nil"/>
              <w:left w:val="single" w:color="auto" w:sz="4" w:space="0"/>
              <w:bottom w:val="single" w:color="auto" w:sz="4" w:space="0"/>
              <w:right w:val="single" w:color="auto" w:sz="4" w:space="0"/>
            </w:tcBorders>
            <w:vAlign w:val="center"/>
          </w:tcPr>
          <w:p>
            <w:pPr>
              <w:widowControl/>
              <w:spacing w:line="280" w:lineRule="exact"/>
              <w:jc w:val="left"/>
              <w:rPr>
                <w:kern w:val="0"/>
                <w:sz w:val="20"/>
                <w:szCs w:val="20"/>
              </w:rPr>
            </w:pPr>
          </w:p>
        </w:tc>
        <w:tc>
          <w:tcPr>
            <w:tcW w:w="330" w:type="dxa"/>
            <w:tcBorders>
              <w:top w:val="nil"/>
              <w:left w:val="single" w:color="auto" w:sz="4" w:space="0"/>
              <w:bottom w:val="single" w:color="auto" w:sz="4" w:space="0"/>
              <w:right w:val="single" w:color="auto" w:sz="4" w:space="0"/>
            </w:tcBorders>
            <w:vAlign w:val="center"/>
          </w:tcPr>
          <w:p>
            <w:pPr>
              <w:widowControl/>
              <w:spacing w:line="280" w:lineRule="exact"/>
              <w:jc w:val="left"/>
              <w:rPr>
                <w:kern w:val="0"/>
                <w:sz w:val="20"/>
                <w:szCs w:val="20"/>
              </w:rPr>
            </w:pPr>
          </w:p>
        </w:tc>
        <w:tc>
          <w:tcPr>
            <w:tcW w:w="438" w:type="dxa"/>
            <w:tcBorders>
              <w:top w:val="nil"/>
              <w:left w:val="single" w:color="auto" w:sz="4" w:space="0"/>
              <w:bottom w:val="single" w:color="auto" w:sz="4" w:space="0"/>
              <w:right w:val="single" w:color="auto" w:sz="4" w:space="0"/>
            </w:tcBorders>
            <w:vAlign w:val="center"/>
          </w:tcPr>
          <w:p>
            <w:pPr>
              <w:widowControl/>
              <w:spacing w:line="280" w:lineRule="exact"/>
              <w:jc w:val="left"/>
              <w:rPr>
                <w:kern w:val="0"/>
                <w:sz w:val="20"/>
                <w:szCs w:val="20"/>
              </w:rPr>
            </w:pPr>
          </w:p>
        </w:tc>
        <w:tc>
          <w:tcPr>
            <w:tcW w:w="330" w:type="dxa"/>
            <w:tcBorders>
              <w:top w:val="nil"/>
              <w:left w:val="single" w:color="auto" w:sz="4" w:space="0"/>
              <w:bottom w:val="single" w:color="auto" w:sz="4" w:space="0"/>
              <w:right w:val="single" w:color="auto" w:sz="4" w:space="0"/>
            </w:tcBorders>
            <w:vAlign w:val="center"/>
          </w:tcPr>
          <w:p>
            <w:pPr>
              <w:widowControl/>
              <w:spacing w:line="280" w:lineRule="exact"/>
              <w:jc w:val="left"/>
              <w:rPr>
                <w:kern w:val="0"/>
                <w:sz w:val="20"/>
                <w:szCs w:val="20"/>
              </w:rPr>
            </w:pPr>
          </w:p>
        </w:tc>
        <w:tc>
          <w:tcPr>
            <w:tcW w:w="892"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p>
        </w:tc>
        <w:tc>
          <w:tcPr>
            <w:tcW w:w="362" w:type="dxa"/>
            <w:tcBorders>
              <w:top w:val="nil"/>
              <w:left w:val="nil"/>
              <w:bottom w:val="single" w:color="auto" w:sz="4" w:space="0"/>
              <w:right w:val="single" w:color="auto" w:sz="4" w:space="0"/>
            </w:tcBorders>
            <w:vAlign w:val="center"/>
          </w:tcPr>
          <w:p>
            <w:pPr>
              <w:widowControl/>
              <w:spacing w:line="280" w:lineRule="exact"/>
              <w:jc w:val="center"/>
              <w:rPr>
                <w:kern w:val="0"/>
                <w:sz w:val="20"/>
                <w:szCs w:val="20"/>
              </w:rPr>
            </w:pPr>
          </w:p>
        </w:tc>
        <w:tc>
          <w:tcPr>
            <w:tcW w:w="2281" w:type="dxa"/>
            <w:tcBorders>
              <w:top w:val="nil"/>
              <w:left w:val="nil"/>
              <w:bottom w:val="single" w:color="auto" w:sz="4" w:space="0"/>
              <w:right w:val="single" w:color="auto" w:sz="4" w:space="0"/>
            </w:tcBorders>
            <w:vAlign w:val="center"/>
          </w:tcPr>
          <w:p>
            <w:pPr>
              <w:widowControl/>
              <w:spacing w:line="240" w:lineRule="exact"/>
              <w:jc w:val="left"/>
              <w:rPr>
                <w:kern w:val="0"/>
                <w:sz w:val="20"/>
                <w:szCs w:val="20"/>
              </w:rPr>
            </w:pPr>
          </w:p>
        </w:tc>
        <w:tc>
          <w:tcPr>
            <w:tcW w:w="2306" w:type="dxa"/>
            <w:tcBorders>
              <w:top w:val="nil"/>
              <w:left w:val="nil"/>
              <w:bottom w:val="single" w:color="auto" w:sz="4" w:space="0"/>
              <w:right w:val="single" w:color="auto" w:sz="4" w:space="0"/>
            </w:tcBorders>
            <w:vAlign w:val="center"/>
          </w:tcPr>
          <w:p>
            <w:pPr>
              <w:widowControl/>
              <w:spacing w:line="280" w:lineRule="exact"/>
              <w:jc w:val="left"/>
              <w:rPr>
                <w:kern w:val="0"/>
                <w:sz w:val="20"/>
                <w:szCs w:val="20"/>
              </w:rPr>
            </w:pPr>
          </w:p>
        </w:tc>
        <w:tc>
          <w:tcPr>
            <w:tcW w:w="488" w:type="dxa"/>
            <w:tcBorders>
              <w:top w:val="nil"/>
              <w:left w:val="nil"/>
              <w:bottom w:val="single" w:color="auto" w:sz="4" w:space="0"/>
              <w:right w:val="single" w:color="auto" w:sz="4" w:space="0"/>
            </w:tcBorders>
            <w:vAlign w:val="center"/>
          </w:tcPr>
          <w:p>
            <w:pPr>
              <w:widowControl/>
              <w:spacing w:line="280" w:lineRule="exact"/>
              <w:jc w:val="left"/>
              <w:rPr>
                <w:kern w:val="0"/>
                <w:sz w:val="24"/>
              </w:rPr>
            </w:pPr>
          </w:p>
        </w:tc>
        <w:tc>
          <w:tcPr>
            <w:tcW w:w="2049" w:type="dxa"/>
            <w:tcBorders>
              <w:top w:val="nil"/>
              <w:left w:val="nil"/>
              <w:bottom w:val="single" w:color="auto" w:sz="4" w:space="0"/>
              <w:right w:val="single" w:color="auto" w:sz="4" w:space="0"/>
            </w:tcBorders>
            <w:vAlign w:val="center"/>
          </w:tcPr>
          <w:p>
            <w:pPr>
              <w:widowControl/>
              <w:spacing w:line="280" w:lineRule="exact"/>
              <w:rPr>
                <w:kern w:val="0"/>
                <w:sz w:val="20"/>
                <w:szCs w:val="20"/>
              </w:rPr>
            </w:pPr>
          </w:p>
        </w:tc>
      </w:tr>
      <w:tr>
        <w:tblPrEx>
          <w:tblCellMar>
            <w:top w:w="0" w:type="dxa"/>
            <w:left w:w="108" w:type="dxa"/>
            <w:bottom w:w="0" w:type="dxa"/>
            <w:right w:w="108" w:type="dxa"/>
          </w:tblCellMar>
        </w:tblPrEx>
        <w:trPr>
          <w:trHeight w:val="830" w:hRule="atLeast"/>
        </w:trPr>
        <w:tc>
          <w:tcPr>
            <w:tcW w:w="7406" w:type="dxa"/>
            <w:gridSpan w:val="8"/>
            <w:tcBorders>
              <w:top w:val="single" w:color="auto" w:sz="4" w:space="0"/>
              <w:left w:val="single" w:color="auto" w:sz="4" w:space="0"/>
              <w:bottom w:val="single" w:color="000000" w:sz="4" w:space="0"/>
              <w:right w:val="single" w:color="auto" w:sz="4" w:space="0"/>
            </w:tcBorders>
            <w:vAlign w:val="center"/>
          </w:tcPr>
          <w:p>
            <w:pPr>
              <w:widowControl/>
              <w:spacing w:line="280" w:lineRule="exact"/>
              <w:jc w:val="center"/>
              <w:rPr>
                <w:kern w:val="0"/>
              </w:rPr>
            </w:pPr>
            <w:r>
              <w:rPr>
                <w:rFonts w:hint="eastAsia"/>
                <w:kern w:val="0"/>
              </w:rPr>
              <w:t>合计</w:t>
            </w:r>
          </w:p>
        </w:tc>
        <w:tc>
          <w:tcPr>
            <w:tcW w:w="2537" w:type="dxa"/>
            <w:gridSpan w:val="2"/>
            <w:tcBorders>
              <w:top w:val="single" w:color="auto" w:sz="4" w:space="0"/>
              <w:left w:val="nil"/>
              <w:bottom w:val="single" w:color="auto" w:sz="4" w:space="0"/>
              <w:right w:val="single" w:color="auto" w:sz="4" w:space="0"/>
            </w:tcBorders>
            <w:vAlign w:val="center"/>
          </w:tcPr>
          <w:p>
            <w:pPr>
              <w:widowControl/>
              <w:spacing w:line="280" w:lineRule="exact"/>
              <w:rPr>
                <w:kern w:val="0"/>
                <w:sz w:val="20"/>
                <w:szCs w:val="20"/>
              </w:rPr>
            </w:pPr>
            <w:r>
              <w:rPr>
                <w:rFonts w:hint="eastAsia"/>
                <w:kern w:val="0"/>
                <w:sz w:val="24"/>
              </w:rPr>
              <w:t>93.01</w:t>
            </w:r>
          </w:p>
        </w:tc>
      </w:tr>
    </w:tbl>
    <w:p>
      <w:pPr>
        <w:spacing w:line="600" w:lineRule="exact"/>
        <w:rPr>
          <w:rFonts w:ascii="Times New Roman" w:hAnsi="Times New Roman" w:eastAsia="黑体"/>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五</w:t>
      </w:r>
      <w:r>
        <w:rPr>
          <w:rFonts w:ascii="Times New Roman" w:hAnsi="Times New Roman" w:eastAsia="黑体"/>
          <w:sz w:val="30"/>
        </w:rPr>
        <w:t>、单位整体支出绩效实现情况</w:t>
      </w:r>
    </w:p>
    <w:p>
      <w:pPr>
        <w:spacing w:line="600" w:lineRule="exact"/>
        <w:ind w:firstLine="600" w:firstLineChars="200"/>
        <w:rPr>
          <w:rFonts w:ascii="Times New Roman" w:hAnsi="Times New Roman"/>
          <w:sz w:val="30"/>
        </w:rPr>
      </w:pPr>
      <w:r>
        <w:rPr>
          <w:rFonts w:ascii="Times New Roman" w:hAnsi="Times New Roman"/>
          <w:sz w:val="30"/>
        </w:rPr>
        <w:t xml:space="preserve">（一）履职完成情况 </w:t>
      </w:r>
    </w:p>
    <w:p>
      <w:pPr>
        <w:widowControl/>
        <w:spacing w:line="500" w:lineRule="atLeast"/>
        <w:ind w:firstLine="562" w:firstLineChars="200"/>
        <w:rPr>
          <w:rFonts w:hAnsi="微软雅黑" w:cs="宋体"/>
          <w:color w:val="000000"/>
          <w:kern w:val="0"/>
          <w:sz w:val="28"/>
          <w:szCs w:val="28"/>
        </w:rPr>
      </w:pPr>
      <w:r>
        <w:rPr>
          <w:rFonts w:hint="eastAsia" w:hAnsi="微软雅黑" w:cs="宋体"/>
          <w:b/>
          <w:bCs/>
          <w:color w:val="000000"/>
          <w:kern w:val="0"/>
          <w:sz w:val="28"/>
          <w:szCs w:val="28"/>
        </w:rPr>
        <w:t>一是坚持标准，强督查。</w:t>
      </w:r>
      <w:r>
        <w:rPr>
          <w:rFonts w:hint="eastAsia" w:hAnsi="微软雅黑" w:cs="宋体"/>
          <w:color w:val="000000"/>
          <w:kern w:val="0"/>
          <w:sz w:val="28"/>
          <w:szCs w:val="28"/>
        </w:rPr>
        <w:t>修订完善了《2018年市容环境卫生督查考核细则》，全面实行“双最”评选机制，严格按照“八无、八净、三亮”的环卫作业标准进行日常维护，加大督查考核力度，做到日督查、周通报、月评选、年评先评优，强化督查考核结果的导向运用；扎实开展精细化作业，切实加大清扫保洁力度，城区主次干道机械化作业率达到100%;今年共派出督查组2000余组6800余人次，受理区平台数字化案卷554起，局下发督查案卷10874起，所有案卷的结案率100%；共扣除社会化承包公司经费73.5万元。</w:t>
      </w:r>
      <w:r>
        <w:rPr>
          <w:rFonts w:hint="eastAsia" w:hAnsi="微软雅黑" w:cs="宋体"/>
          <w:b/>
          <w:bCs/>
          <w:color w:val="000000"/>
          <w:kern w:val="0"/>
          <w:sz w:val="28"/>
          <w:szCs w:val="28"/>
        </w:rPr>
        <w:t>二是攻坚克难，迎考核。</w:t>
      </w:r>
      <w:r>
        <w:rPr>
          <w:rFonts w:hint="eastAsia" w:hAnsi="微软雅黑" w:cs="宋体"/>
          <w:color w:val="000000"/>
          <w:kern w:val="0"/>
          <w:sz w:val="28"/>
          <w:szCs w:val="28"/>
        </w:rPr>
        <w:t>积极应对全国文明城市建设省级复查和每季度市对区城管考核及文明指数测评工作，组织开展全区大扫除行动，</w:t>
      </w:r>
      <w:r>
        <w:rPr>
          <w:rFonts w:hint="eastAsia" w:hAnsi="仿宋_GB2312" w:cs="仿宋_GB2312"/>
          <w:sz w:val="28"/>
          <w:szCs w:val="28"/>
        </w:rPr>
        <w:t>将城区所有主次干道和站厕安排干部职工专门负责，实行定人、定岗、定责，并将考核检查结果纳入科室绩效考核和个人年度绩效考核</w:t>
      </w:r>
      <w:r>
        <w:rPr>
          <w:rFonts w:hint="eastAsia" w:hAnsi="仿宋_GB2312" w:cs="仿宋_GB2312"/>
          <w:kern w:val="0"/>
          <w:sz w:val="28"/>
          <w:szCs w:val="28"/>
        </w:rPr>
        <w:t>；</w:t>
      </w:r>
      <w:r>
        <w:rPr>
          <w:rFonts w:hint="eastAsia" w:hAnsi="微软雅黑" w:cs="宋体"/>
          <w:kern w:val="0"/>
          <w:sz w:val="28"/>
          <w:szCs w:val="28"/>
        </w:rPr>
        <w:t>共出动作业车辆180台次、作业人员2280人次，按照环卫作业标准，加强对主城区范围的主次干道、背街小巷、交通护栏、公交站台等清洗保洁，先后处理垃圾堆物78车，清洗油污380处，清除“牛皮癣”282处，</w:t>
      </w:r>
      <w:r>
        <w:rPr>
          <w:rFonts w:hint="eastAsia" w:hAnsi="微软雅黑" w:cs="宋体"/>
          <w:color w:val="000000"/>
          <w:kern w:val="0"/>
          <w:sz w:val="28"/>
          <w:szCs w:val="28"/>
        </w:rPr>
        <w:t>确保了全国文明城市建设省级复查和市对区考核的效果；在区内第一、二季度城管考核工作中，分别排名第一和第三。</w:t>
      </w:r>
      <w:r>
        <w:rPr>
          <w:rFonts w:hint="eastAsia" w:hAnsi="微软雅黑" w:cs="宋体"/>
          <w:b/>
          <w:bCs/>
          <w:color w:val="000000"/>
          <w:kern w:val="0"/>
          <w:sz w:val="28"/>
          <w:szCs w:val="28"/>
        </w:rPr>
        <w:t>三是精准发力，保效果。</w:t>
      </w:r>
      <w:r>
        <w:rPr>
          <w:rFonts w:hint="eastAsia" w:hAnsi="微软雅黑" w:cs="宋体"/>
          <w:color w:val="000000"/>
          <w:kern w:val="0"/>
          <w:sz w:val="28"/>
          <w:szCs w:val="28"/>
        </w:rPr>
        <w:t>在各项中心接待和应急处突工作中，严格按照区委区政府的工作部署，精心组织，周密部署，出色完成各项工作任务。在</w:t>
      </w:r>
      <w:r>
        <w:rPr>
          <w:rFonts w:hint="eastAsia" w:hAnsi="宋体"/>
          <w:kern w:val="0"/>
          <w:sz w:val="28"/>
          <w:szCs w:val="28"/>
        </w:rPr>
        <w:t>1月份铲雪除冰应急处突中，积极调派车辆、作业人员，对全区主次干道抛洒工业盐190余吨，调派</w:t>
      </w:r>
      <w:r>
        <w:rPr>
          <w:rFonts w:hint="eastAsia" w:hAnsi="宋体" w:cs="宋体"/>
          <w:kern w:val="0"/>
          <w:sz w:val="28"/>
          <w:szCs w:val="28"/>
        </w:rPr>
        <w:t>机械设备130台次，出动作业人员570余人次，全局干部职工加班加点，攻坚克难，确保了全区道路的通畅</w:t>
      </w:r>
      <w:r>
        <w:rPr>
          <w:rFonts w:hint="eastAsia"/>
          <w:kern w:val="0"/>
          <w:sz w:val="28"/>
          <w:szCs w:val="28"/>
        </w:rPr>
        <w:t>。在8月份新华联铜官窑古镇顺利开园工作中，</w:t>
      </w:r>
      <w:r>
        <w:rPr>
          <w:rFonts w:hint="eastAsia" w:hAnsi="宋体"/>
          <w:kern w:val="0"/>
          <w:sz w:val="28"/>
          <w:szCs w:val="28"/>
        </w:rPr>
        <w:t>克服</w:t>
      </w:r>
      <w:r>
        <w:rPr>
          <w:rFonts w:hint="eastAsia"/>
          <w:kern w:val="0"/>
          <w:sz w:val="28"/>
          <w:szCs w:val="28"/>
        </w:rPr>
        <w:t>时间紧、任务重、</w:t>
      </w:r>
      <w:r>
        <w:rPr>
          <w:rFonts w:hint="eastAsia" w:hAnsi="宋体"/>
          <w:kern w:val="0"/>
          <w:sz w:val="28"/>
          <w:szCs w:val="28"/>
        </w:rPr>
        <w:t>难度大的实际困难，</w:t>
      </w:r>
      <w:r>
        <w:rPr>
          <w:rFonts w:hint="eastAsia" w:hAnsi="宋体" w:cs="宋体"/>
          <w:kern w:val="0"/>
          <w:sz w:val="28"/>
          <w:szCs w:val="28"/>
        </w:rPr>
        <w:t>加班加点，高标准完成了环卫保洁任务，</w:t>
      </w:r>
      <w:r>
        <w:rPr>
          <w:rFonts w:hint="eastAsia"/>
          <w:kern w:val="0"/>
          <w:sz w:val="28"/>
          <w:szCs w:val="28"/>
        </w:rPr>
        <w:t>先后出动作业机械98台次、作业人员470人次，</w:t>
      </w:r>
      <w:r>
        <w:rPr>
          <w:rFonts w:hint="eastAsia" w:hAnsi="宋体"/>
          <w:kern w:val="0"/>
          <w:sz w:val="28"/>
          <w:szCs w:val="28"/>
        </w:rPr>
        <w:t>在湘江大道景观道安装仿古分类果皮箱50个，摆放240L垃圾桶80个，</w:t>
      </w:r>
      <w:r>
        <w:rPr>
          <w:rFonts w:hint="eastAsia"/>
          <w:kern w:val="0"/>
          <w:sz w:val="28"/>
          <w:szCs w:val="28"/>
        </w:rPr>
        <w:t>出动垃圾车256台/次，</w:t>
      </w:r>
      <w:r>
        <w:rPr>
          <w:rFonts w:hint="eastAsia" w:hAnsi="宋体"/>
          <w:kern w:val="0"/>
          <w:sz w:val="28"/>
          <w:szCs w:val="28"/>
        </w:rPr>
        <w:t>清运新华联铜官窑古镇内建筑垃圾</w:t>
      </w:r>
      <w:r>
        <w:rPr>
          <w:rFonts w:hint="eastAsia"/>
          <w:kern w:val="0"/>
          <w:sz w:val="28"/>
          <w:szCs w:val="28"/>
        </w:rPr>
        <w:t>5120吨。</w:t>
      </w:r>
      <w:r>
        <w:rPr>
          <w:rFonts w:hint="eastAsia" w:hAnsi="微软雅黑" w:cs="宋体"/>
          <w:color w:val="000000"/>
          <w:kern w:val="0"/>
          <w:sz w:val="28"/>
          <w:szCs w:val="28"/>
        </w:rPr>
        <w:t>今年，出色完成中央环保督</w:t>
      </w:r>
      <w:r>
        <w:rPr>
          <w:rFonts w:hint="eastAsia" w:hAnsi="微软雅黑" w:cs="宋体"/>
          <w:color w:val="000000"/>
          <w:kern w:val="0"/>
          <w:sz w:val="28"/>
          <w:szCs w:val="28"/>
          <w:lang w:eastAsia="zh-CN"/>
        </w:rPr>
        <w:t>察</w:t>
      </w:r>
      <w:r>
        <w:rPr>
          <w:rFonts w:hint="eastAsia" w:hAnsi="微软雅黑" w:cs="宋体"/>
          <w:color w:val="000000"/>
          <w:kern w:val="0"/>
          <w:sz w:val="28"/>
          <w:szCs w:val="28"/>
        </w:rPr>
        <w:t>组望城巡视、国家水利部领导到望城区现场踏勘、市政工程观摩和中央、省、市等各级领导望城调研考察观摩等中心接待任务70余次，及2018雷锋精神论坛、新华联铜官窑古镇开园系列活动、望城国际铁人三项赛、全国交通运输行业职业技能比赛等10余次重大活动的环卫保洁工作，高效处置城区道路内涝、山体滑坡、汽油撒漏、交通事故等急难险重任务10余次，得到了社会各界的一致好评。</w:t>
      </w:r>
    </w:p>
    <w:p>
      <w:pPr>
        <w:spacing w:line="600" w:lineRule="exact"/>
        <w:ind w:firstLine="600" w:firstLineChars="200"/>
        <w:rPr>
          <w:rFonts w:ascii="Times New Roman" w:hAnsi="Times New Roman"/>
          <w:sz w:val="30"/>
        </w:rPr>
      </w:pPr>
      <w:r>
        <w:rPr>
          <w:rFonts w:ascii="Times New Roman" w:hAnsi="Times New Roman"/>
          <w:sz w:val="30"/>
        </w:rPr>
        <w:t>（二）履职效果情况</w:t>
      </w:r>
    </w:p>
    <w:p>
      <w:pPr>
        <w:widowControl/>
        <w:spacing w:line="500" w:lineRule="atLeast"/>
        <w:ind w:firstLine="562" w:firstLineChars="200"/>
        <w:rPr>
          <w:rFonts w:hAnsi="微软雅黑" w:cs="宋体"/>
          <w:color w:val="000000"/>
          <w:kern w:val="0"/>
          <w:sz w:val="28"/>
          <w:szCs w:val="28"/>
        </w:rPr>
      </w:pPr>
      <w:r>
        <w:rPr>
          <w:rFonts w:hint="eastAsia" w:ascii="仿宋" w:hAnsi="仿宋" w:eastAsia="仿宋" w:cs="仿宋"/>
          <w:b/>
          <w:bCs/>
          <w:color w:val="000000"/>
          <w:kern w:val="0"/>
          <w:sz w:val="28"/>
          <w:szCs w:val="28"/>
        </w:rPr>
        <w:t>一是蓝天保卫战成效显著。</w:t>
      </w:r>
      <w:r>
        <w:rPr>
          <w:rFonts w:hint="eastAsia" w:hAnsi="微软雅黑" w:cs="宋体"/>
          <w:color w:val="000000"/>
          <w:kern w:val="0"/>
          <w:sz w:val="28"/>
          <w:szCs w:val="28"/>
        </w:rPr>
        <w:t>严格按照“强力推进环境大治理，坚决打赢蓝天保卫战”有关工作要求，以改善人居环境、提升城市品质为目标，强化扬尘污染防治责任，扎实推进大气污染治理，利用洒水车、雾炮车等加大对城区主次干道的洒水降尘力度，有效改善了我区环境空气质量。向干部职工发放《守护蓝天白云 文明低碳过年》倡议书，全员签订禁止燃放烟花爆竹责任书，用实际行动守护碧水蓝天，共建生态文明城市。今年共出动雾炮车喷洒降尘160台次。</w:t>
      </w:r>
      <w:r>
        <w:rPr>
          <w:rFonts w:hint="eastAsia" w:ascii="仿宋" w:hAnsi="仿宋" w:eastAsia="仿宋" w:cs="仿宋"/>
          <w:b/>
          <w:bCs/>
          <w:color w:val="000000"/>
          <w:kern w:val="0"/>
          <w:sz w:val="28"/>
          <w:szCs w:val="28"/>
        </w:rPr>
        <w:t>二是垃圾运输不断规范。</w:t>
      </w:r>
      <w:r>
        <w:rPr>
          <w:rFonts w:hint="eastAsia" w:hAnsi="微软雅黑" w:cs="宋体"/>
          <w:color w:val="000000"/>
          <w:kern w:val="0"/>
          <w:sz w:val="28"/>
          <w:szCs w:val="28"/>
        </w:rPr>
        <w:t>进一步规范垃圾运输管理，生活垃圾做到日产日清，垃圾处理率达到100%；进一步增强垃圾收运能力，采用密闭式垃圾处理设备，杜绝了洒漏和二次污染；今年，日清生活垃圾560余吨，共清运垃圾15.8万吨，收取垃圾处理费190万元。</w:t>
      </w:r>
      <w:r>
        <w:rPr>
          <w:rFonts w:hint="eastAsia" w:ascii="仿宋" w:hAnsi="仿宋" w:eastAsia="仿宋" w:cs="仿宋"/>
          <w:b/>
          <w:bCs/>
          <w:color w:val="000000"/>
          <w:kern w:val="0"/>
          <w:sz w:val="28"/>
          <w:szCs w:val="28"/>
        </w:rPr>
        <w:t>三是基础设施逐步完善。</w:t>
      </w:r>
      <w:r>
        <w:rPr>
          <w:rFonts w:hint="eastAsia" w:hAnsi="微软雅黑" w:cs="宋体"/>
          <w:color w:val="000000"/>
          <w:kern w:val="0"/>
          <w:sz w:val="28"/>
          <w:szCs w:val="28"/>
        </w:rPr>
        <w:t>切实加强环卫基础设施维护维修，全面推进环卫项目建设进度，</w:t>
      </w:r>
      <w:r>
        <w:rPr>
          <w:rFonts w:hint="eastAsia" w:hAnsi="微软雅黑" w:cs="宋体"/>
          <w:kern w:val="0"/>
          <w:sz w:val="28"/>
          <w:szCs w:val="28"/>
        </w:rPr>
        <w:t>今年更换240L垃圾桶632个、双果皮桶279个，新增蝴蝶型</w:t>
      </w:r>
      <w:bookmarkStart w:id="0" w:name="_GoBack"/>
      <w:bookmarkEnd w:id="0"/>
      <w:r>
        <w:rPr>
          <w:rFonts w:hint="eastAsia" w:hAnsi="微软雅黑" w:cs="宋体"/>
          <w:kern w:val="0"/>
          <w:sz w:val="28"/>
          <w:szCs w:val="28"/>
        </w:rPr>
        <w:t>环保垃圾箱200个、仿古环保垃圾箱50个，维修双果皮桶280余个</w:t>
      </w:r>
      <w:r>
        <w:rPr>
          <w:rFonts w:hint="eastAsia" w:hAnsi="微软雅黑" w:cs="宋体"/>
          <w:color w:val="000000"/>
          <w:kern w:val="0"/>
          <w:sz w:val="28"/>
          <w:szCs w:val="28"/>
        </w:rPr>
        <w:t>；完成了望城区生活垃圾转运站建设选址、规划、调整、公示、可研初评等前期工作，专家评审工作正在筹划当中；同时，完成了中南社区公共卫生间的提质改造和雷锋东路、啤酒广场公共卫生间光伏发电试点，给市民提供了便利和舒适的公共环境。</w:t>
      </w:r>
    </w:p>
    <w:p>
      <w:pPr>
        <w:spacing w:line="600" w:lineRule="exact"/>
        <w:ind w:firstLine="452" w:firstLineChars="150"/>
        <w:outlineLvl w:val="0"/>
        <w:rPr>
          <w:b/>
          <w:bCs/>
          <w:sz w:val="30"/>
          <w:szCs w:val="30"/>
        </w:rPr>
      </w:pPr>
      <w:r>
        <w:rPr>
          <w:rFonts w:hint="eastAsia"/>
          <w:b/>
          <w:bCs/>
          <w:sz w:val="30"/>
          <w:szCs w:val="30"/>
        </w:rPr>
        <w:t>（三）</w:t>
      </w:r>
      <w:r>
        <w:rPr>
          <w:b/>
          <w:bCs/>
          <w:sz w:val="30"/>
          <w:szCs w:val="30"/>
        </w:rPr>
        <w:t>评优评奖情况</w:t>
      </w:r>
    </w:p>
    <w:p>
      <w:pPr>
        <w:spacing w:line="600" w:lineRule="exact"/>
        <w:ind w:firstLine="640" w:firstLineChars="200"/>
        <w:rPr>
          <w:rFonts w:ascii="Times New Roman" w:hAnsi="Times New Roman"/>
          <w:sz w:val="30"/>
        </w:rPr>
      </w:pPr>
      <w:r>
        <w:t>环卫局取得了望城区2018年城市文明建设测评“B”类区直属单位第三季度第三名、第四季度第一名；望城区2018年城市管理工作考核“三A类”第一季度第一名、第二季度第三名、第三季度第一名、第四季度第一名。</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六</w:t>
      </w:r>
      <w:r>
        <w:rPr>
          <w:rFonts w:ascii="Times New Roman" w:hAnsi="Times New Roman" w:eastAsia="黑体"/>
          <w:sz w:val="30"/>
        </w:rPr>
        <w:t>、单位整体支出绩效中存在问题及改进措施</w:t>
      </w:r>
    </w:p>
    <w:p>
      <w:pPr>
        <w:spacing w:line="600" w:lineRule="exact"/>
        <w:ind w:firstLine="560" w:firstLineChars="200"/>
        <w:rPr>
          <w:rFonts w:ascii="Times New Roman" w:hAnsi="Times New Roman"/>
          <w:sz w:val="28"/>
          <w:szCs w:val="28"/>
        </w:rPr>
      </w:pPr>
      <w:r>
        <w:rPr>
          <w:rFonts w:ascii="Times New Roman" w:hAnsi="Times New Roman"/>
          <w:sz w:val="28"/>
          <w:szCs w:val="28"/>
        </w:rPr>
        <w:t>（一）主要问题及原因分析</w:t>
      </w:r>
    </w:p>
    <w:p>
      <w:pPr>
        <w:spacing w:line="600" w:lineRule="exact"/>
        <w:ind w:firstLine="551" w:firstLineChars="196"/>
        <w:rPr>
          <w:rFonts w:hAnsi="Times New Roman"/>
          <w:b/>
          <w:bCs/>
          <w:sz w:val="28"/>
          <w:szCs w:val="28"/>
        </w:rPr>
      </w:pPr>
      <w:r>
        <w:rPr>
          <w:rFonts w:hint="eastAsia" w:hAnsi="Times New Roman"/>
          <w:b/>
          <w:bCs/>
          <w:sz w:val="28"/>
          <w:szCs w:val="28"/>
        </w:rPr>
        <w:t>1、环卫工作辛苦，现行的工资标准低，招聘一线环卫工人难，从事一线环卫工作人员大部分年龄偏大。</w:t>
      </w:r>
    </w:p>
    <w:p>
      <w:pPr>
        <w:spacing w:line="600" w:lineRule="exact"/>
        <w:ind w:firstLine="551" w:firstLineChars="196"/>
        <w:rPr>
          <w:rFonts w:hAnsi="Times New Roman"/>
          <w:sz w:val="28"/>
          <w:szCs w:val="28"/>
        </w:rPr>
      </w:pPr>
      <w:r>
        <w:rPr>
          <w:rFonts w:hint="eastAsia" w:hAnsi="Times New Roman"/>
          <w:b/>
          <w:bCs/>
          <w:sz w:val="28"/>
          <w:szCs w:val="28"/>
        </w:rPr>
        <w:t>2、环卫工人购买保险比例不高。</w:t>
      </w:r>
      <w:r>
        <w:rPr>
          <w:rFonts w:hint="eastAsia" w:hAnsi="Times New Roman"/>
          <w:sz w:val="28"/>
          <w:szCs w:val="28"/>
        </w:rPr>
        <w:t>一是环卫工人年龄普遍超龄，难以购买保险，二是部分环卫工人已在村社区购买保险，不愿意再购买保险。</w:t>
      </w:r>
    </w:p>
    <w:p>
      <w:pPr>
        <w:spacing w:line="600" w:lineRule="exact"/>
        <w:ind w:firstLine="551" w:firstLineChars="196"/>
        <w:rPr>
          <w:rFonts w:hAnsi="Times New Roman"/>
          <w:sz w:val="28"/>
          <w:szCs w:val="28"/>
        </w:rPr>
      </w:pPr>
      <w:r>
        <w:rPr>
          <w:rFonts w:hint="eastAsia" w:hAnsi="Times New Roman"/>
          <w:b/>
          <w:bCs/>
          <w:sz w:val="28"/>
          <w:szCs w:val="28"/>
        </w:rPr>
        <w:t>3、环卫工人文明作业意识有待加强。</w:t>
      </w:r>
    </w:p>
    <w:p>
      <w:pPr>
        <w:spacing w:line="600" w:lineRule="exact"/>
        <w:ind w:firstLine="551" w:firstLineChars="196"/>
        <w:rPr>
          <w:rFonts w:hAnsi="Times New Roman"/>
          <w:sz w:val="28"/>
          <w:szCs w:val="28"/>
        </w:rPr>
      </w:pPr>
      <w:r>
        <w:rPr>
          <w:rFonts w:hint="eastAsia" w:hAnsi="Times New Roman"/>
          <w:b/>
          <w:bCs/>
          <w:sz w:val="28"/>
          <w:szCs w:val="28"/>
        </w:rPr>
        <w:t>4、各区直部门、街道社区工作协调问题。</w:t>
      </w:r>
      <w:r>
        <w:rPr>
          <w:rFonts w:hint="eastAsia" w:hAnsi="Times New Roman"/>
          <w:sz w:val="28"/>
          <w:szCs w:val="28"/>
        </w:rPr>
        <w:t>金星大道、雷锋大道、望城大道等多处路段存在环卫刚普扫结束，园林绿化洒水、市政人行道修复、电力施工开挖造成泥沙、砖渣堆积，污染人行道及辅道的现象。同时，各街道、社区不积极采取垃圾收集清运措施，倒入环卫中心摆放的240L桶内或垃圾压缩站内，导致垃圾站或垃圾桶爆棚，垃圾清运成本增加，清运任务加重，也给人员车辆安全带来隐患。</w:t>
      </w:r>
    </w:p>
    <w:p>
      <w:pPr>
        <w:spacing w:line="600" w:lineRule="exact"/>
        <w:ind w:firstLine="600" w:firstLineChars="200"/>
        <w:rPr>
          <w:rFonts w:ascii="Times New Roman" w:hAnsi="Times New Roman"/>
          <w:sz w:val="30"/>
        </w:rPr>
      </w:pPr>
      <w:r>
        <w:rPr>
          <w:rFonts w:ascii="Times New Roman" w:hAnsi="Times New Roman"/>
          <w:sz w:val="30"/>
        </w:rPr>
        <w:t>（二）改进的方向和具体措施</w:t>
      </w:r>
    </w:p>
    <w:p>
      <w:pPr>
        <w:spacing w:line="600" w:lineRule="exact"/>
        <w:ind w:firstLine="551" w:firstLineChars="196"/>
        <w:rPr>
          <w:rFonts w:hAnsi="Times New Roman"/>
          <w:b/>
          <w:bCs/>
          <w:sz w:val="28"/>
          <w:szCs w:val="28"/>
        </w:rPr>
      </w:pPr>
      <w:r>
        <w:rPr>
          <w:rFonts w:hint="eastAsia" w:hAnsi="Times New Roman"/>
          <w:b/>
          <w:bCs/>
          <w:sz w:val="28"/>
          <w:szCs w:val="28"/>
        </w:rPr>
        <w:t>1、呼吁全社会关注环卫工人群休，重视环卫工人，逐步提高环卫工人待遇。</w:t>
      </w:r>
    </w:p>
    <w:p>
      <w:pPr>
        <w:spacing w:line="600" w:lineRule="exact"/>
        <w:ind w:firstLine="551" w:firstLineChars="196"/>
        <w:rPr>
          <w:rFonts w:hAnsi="Times New Roman"/>
          <w:b/>
          <w:bCs/>
          <w:sz w:val="28"/>
          <w:szCs w:val="28"/>
        </w:rPr>
      </w:pPr>
      <w:r>
        <w:rPr>
          <w:rFonts w:hint="eastAsia" w:hAnsi="Times New Roman"/>
          <w:b/>
          <w:bCs/>
          <w:sz w:val="28"/>
          <w:szCs w:val="28"/>
        </w:rPr>
        <w:t>2、对于超龄人员建议购买部分商业意外保险。</w:t>
      </w:r>
    </w:p>
    <w:p>
      <w:pPr>
        <w:spacing w:line="600" w:lineRule="exact"/>
        <w:ind w:firstLine="551" w:firstLineChars="196"/>
        <w:rPr>
          <w:rFonts w:hAnsi="Times New Roman"/>
          <w:sz w:val="28"/>
          <w:szCs w:val="28"/>
        </w:rPr>
      </w:pPr>
      <w:r>
        <w:rPr>
          <w:rFonts w:hint="eastAsia" w:hAnsi="Times New Roman"/>
          <w:b/>
          <w:bCs/>
          <w:sz w:val="28"/>
          <w:szCs w:val="28"/>
        </w:rPr>
        <w:t>3、监督公司加强对环卫工人文明作业的培训。</w:t>
      </w:r>
      <w:r>
        <w:rPr>
          <w:rFonts w:hint="eastAsia" w:hAnsi="Times New Roman"/>
          <w:sz w:val="28"/>
          <w:szCs w:val="28"/>
        </w:rPr>
        <w:t>平进督查时，发现不文明作业，立案扣分。</w:t>
      </w:r>
    </w:p>
    <w:p>
      <w:pPr>
        <w:spacing w:line="600" w:lineRule="exact"/>
        <w:ind w:firstLine="562" w:firstLineChars="200"/>
        <w:rPr>
          <w:rFonts w:ascii="Times New Roman" w:hAnsi="Times New Roman"/>
          <w:sz w:val="30"/>
        </w:rPr>
      </w:pPr>
      <w:r>
        <w:rPr>
          <w:rFonts w:hint="eastAsia" w:hAnsi="Times New Roman"/>
          <w:b/>
          <w:bCs/>
          <w:sz w:val="28"/>
          <w:szCs w:val="28"/>
        </w:rPr>
        <w:t>4、加强各区直部门、街道社区工作协调。</w:t>
      </w:r>
      <w:r>
        <w:rPr>
          <w:rFonts w:hint="eastAsia" w:hAnsi="Times New Roman"/>
          <w:sz w:val="28"/>
          <w:szCs w:val="28"/>
        </w:rPr>
        <w:t>保洁靠清扫、维护靠市民、监管靠环卫，多管齐下。</w:t>
      </w:r>
    </w:p>
    <w:p>
      <w:pPr>
        <w:spacing w:line="600" w:lineRule="exact"/>
        <w:ind w:firstLine="600" w:firstLineChars="200"/>
        <w:rPr>
          <w:rFonts w:ascii="Times New Roman" w:hAnsi="Times New Roman"/>
          <w:sz w:val="30"/>
        </w:rPr>
      </w:pPr>
    </w:p>
    <w:p>
      <w:pPr>
        <w:spacing w:line="600" w:lineRule="exact"/>
        <w:ind w:firstLine="600" w:firstLineChars="200"/>
        <w:rPr>
          <w:rFonts w:ascii="Times New Roman" w:hAnsi="Times New Roman"/>
          <w:sz w:val="30"/>
        </w:rPr>
      </w:pPr>
    </w:p>
    <w:p>
      <w:pPr>
        <w:adjustRightInd w:val="0"/>
        <w:snapToGrid w:val="0"/>
        <w:spacing w:line="600" w:lineRule="exact"/>
        <w:ind w:firstLine="4200" w:firstLineChars="1500"/>
        <w:jc w:val="left"/>
        <w:rPr>
          <w:rFonts w:asciiTheme="majorEastAsia" w:hAnsiTheme="majorEastAsia" w:eastAsiaTheme="majorEastAsia"/>
          <w:bCs/>
          <w:color w:val="000000"/>
          <w:kern w:val="0"/>
          <w:sz w:val="28"/>
          <w:szCs w:val="28"/>
        </w:rPr>
      </w:pPr>
    </w:p>
    <w:p>
      <w:pPr>
        <w:adjustRightInd w:val="0"/>
        <w:snapToGrid w:val="0"/>
        <w:spacing w:line="600" w:lineRule="exact"/>
        <w:ind w:firstLine="4200" w:firstLineChars="1500"/>
        <w:jc w:val="left"/>
        <w:rPr>
          <w:rFonts w:asciiTheme="majorEastAsia" w:hAnsiTheme="majorEastAsia" w:eastAsiaTheme="majorEastAsia"/>
          <w:bCs/>
          <w:color w:val="000000"/>
          <w:kern w:val="0"/>
          <w:sz w:val="28"/>
          <w:szCs w:val="28"/>
        </w:rPr>
      </w:pPr>
    </w:p>
    <w:p>
      <w:pPr>
        <w:adjustRightInd w:val="0"/>
        <w:snapToGrid w:val="0"/>
        <w:spacing w:line="600" w:lineRule="exact"/>
        <w:ind w:firstLine="4200" w:firstLineChars="1500"/>
        <w:jc w:val="left"/>
        <w:rPr>
          <w:rFonts w:asciiTheme="majorEastAsia" w:hAnsiTheme="majorEastAsia" w:eastAsiaTheme="majorEastAsia"/>
          <w:bCs/>
          <w:color w:val="000000"/>
          <w:kern w:val="0"/>
          <w:sz w:val="28"/>
          <w:szCs w:val="28"/>
        </w:rPr>
      </w:pPr>
    </w:p>
    <w:p>
      <w:pPr>
        <w:adjustRightInd w:val="0"/>
        <w:snapToGrid w:val="0"/>
        <w:spacing w:line="600" w:lineRule="exact"/>
        <w:ind w:firstLine="4200" w:firstLineChars="1500"/>
        <w:jc w:val="left"/>
        <w:rPr>
          <w:rFonts w:asciiTheme="majorEastAsia" w:hAnsiTheme="majorEastAsia" w:eastAsiaTheme="majorEastAsia"/>
          <w:bCs/>
          <w:color w:val="000000"/>
          <w:kern w:val="0"/>
          <w:sz w:val="28"/>
          <w:szCs w:val="28"/>
        </w:rPr>
      </w:pPr>
    </w:p>
    <w:p>
      <w:pPr>
        <w:adjustRightInd w:val="0"/>
        <w:snapToGrid w:val="0"/>
        <w:spacing w:line="600" w:lineRule="exact"/>
        <w:ind w:firstLine="4200" w:firstLineChars="1500"/>
        <w:jc w:val="left"/>
        <w:rPr>
          <w:rFonts w:asciiTheme="majorEastAsia" w:hAnsiTheme="majorEastAsia" w:eastAsiaTheme="majorEastAsia"/>
          <w:bCs/>
          <w:color w:val="000000"/>
          <w:kern w:val="0"/>
          <w:sz w:val="28"/>
          <w:szCs w:val="28"/>
        </w:rPr>
      </w:pPr>
      <w:r>
        <w:rPr>
          <w:rFonts w:hint="eastAsia" w:asciiTheme="majorEastAsia" w:hAnsiTheme="majorEastAsia" w:eastAsiaTheme="majorEastAsia"/>
          <w:bCs/>
          <w:color w:val="000000"/>
          <w:kern w:val="0"/>
          <w:sz w:val="28"/>
          <w:szCs w:val="28"/>
        </w:rPr>
        <w:t>长沙市望城区环卫局</w:t>
      </w:r>
    </w:p>
    <w:p>
      <w:pPr>
        <w:adjustRightInd w:val="0"/>
        <w:snapToGrid w:val="0"/>
        <w:spacing w:line="600" w:lineRule="exact"/>
        <w:ind w:firstLine="4340" w:firstLineChars="1550"/>
        <w:jc w:val="left"/>
        <w:rPr>
          <w:rFonts w:asciiTheme="majorEastAsia" w:hAnsiTheme="majorEastAsia" w:eastAsiaTheme="majorEastAsia"/>
          <w:bCs/>
          <w:color w:val="000000"/>
          <w:kern w:val="0"/>
          <w:sz w:val="28"/>
          <w:szCs w:val="28"/>
        </w:rPr>
      </w:pPr>
      <w:r>
        <w:rPr>
          <w:rFonts w:hint="eastAsia" w:asciiTheme="majorEastAsia" w:hAnsiTheme="majorEastAsia" w:eastAsiaTheme="majorEastAsia"/>
          <w:bCs/>
          <w:color w:val="000000"/>
          <w:kern w:val="0"/>
          <w:sz w:val="28"/>
          <w:szCs w:val="28"/>
        </w:rPr>
        <w:t>2018年4月22日</w:t>
      </w:r>
    </w:p>
    <w:sectPr>
      <w:footerReference r:id="rId3" w:type="default"/>
      <w:footerReference r:id="rId4"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9 -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10 -</w:t>
        </w:r>
        <w:r>
          <w:rPr>
            <w:rFonts w:hint="eastAsia" w:ascii="仿宋" w:hAnsi="仿宋" w:eastAsia="仿宋" w:cs="仿宋"/>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03747"/>
    <w:rsid w:val="00005D88"/>
    <w:rsid w:val="00017EBD"/>
    <w:rsid w:val="0002789D"/>
    <w:rsid w:val="00050733"/>
    <w:rsid w:val="00057A74"/>
    <w:rsid w:val="00064467"/>
    <w:rsid w:val="00067A46"/>
    <w:rsid w:val="0007763D"/>
    <w:rsid w:val="0008243B"/>
    <w:rsid w:val="000877BF"/>
    <w:rsid w:val="00091E7B"/>
    <w:rsid w:val="000D230F"/>
    <w:rsid w:val="000E20BF"/>
    <w:rsid w:val="00106906"/>
    <w:rsid w:val="00111454"/>
    <w:rsid w:val="0012055D"/>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67668"/>
    <w:rsid w:val="00283DDC"/>
    <w:rsid w:val="00294D02"/>
    <w:rsid w:val="002A1C9D"/>
    <w:rsid w:val="002C2EDA"/>
    <w:rsid w:val="002D2B17"/>
    <w:rsid w:val="002D6DE6"/>
    <w:rsid w:val="002F4C93"/>
    <w:rsid w:val="002F7238"/>
    <w:rsid w:val="003001BB"/>
    <w:rsid w:val="00303592"/>
    <w:rsid w:val="00303747"/>
    <w:rsid w:val="0030482B"/>
    <w:rsid w:val="00304A80"/>
    <w:rsid w:val="00311F5D"/>
    <w:rsid w:val="00312784"/>
    <w:rsid w:val="003202CE"/>
    <w:rsid w:val="003370D8"/>
    <w:rsid w:val="00344F4D"/>
    <w:rsid w:val="00345F10"/>
    <w:rsid w:val="00347B6E"/>
    <w:rsid w:val="0035691A"/>
    <w:rsid w:val="00365CB3"/>
    <w:rsid w:val="003663D1"/>
    <w:rsid w:val="00372C66"/>
    <w:rsid w:val="0037668D"/>
    <w:rsid w:val="003809B6"/>
    <w:rsid w:val="00382329"/>
    <w:rsid w:val="003A32AD"/>
    <w:rsid w:val="003A51A4"/>
    <w:rsid w:val="003B159F"/>
    <w:rsid w:val="003B28DD"/>
    <w:rsid w:val="003E2B22"/>
    <w:rsid w:val="003F52D0"/>
    <w:rsid w:val="00406148"/>
    <w:rsid w:val="00406EF4"/>
    <w:rsid w:val="00413BF7"/>
    <w:rsid w:val="004358A4"/>
    <w:rsid w:val="004378B6"/>
    <w:rsid w:val="0044035E"/>
    <w:rsid w:val="00475DCA"/>
    <w:rsid w:val="00486AFF"/>
    <w:rsid w:val="00490592"/>
    <w:rsid w:val="004A7F68"/>
    <w:rsid w:val="004C06F3"/>
    <w:rsid w:val="004C0FAE"/>
    <w:rsid w:val="004C37B2"/>
    <w:rsid w:val="004C420F"/>
    <w:rsid w:val="004D4746"/>
    <w:rsid w:val="004E1BAF"/>
    <w:rsid w:val="004E5E17"/>
    <w:rsid w:val="004F24CD"/>
    <w:rsid w:val="00502C54"/>
    <w:rsid w:val="00521BF2"/>
    <w:rsid w:val="005262D3"/>
    <w:rsid w:val="005328C3"/>
    <w:rsid w:val="005362BF"/>
    <w:rsid w:val="00570BC5"/>
    <w:rsid w:val="00574562"/>
    <w:rsid w:val="005A2FDD"/>
    <w:rsid w:val="005A43DF"/>
    <w:rsid w:val="005A4620"/>
    <w:rsid w:val="005B21A1"/>
    <w:rsid w:val="005B5668"/>
    <w:rsid w:val="005C236B"/>
    <w:rsid w:val="005C304E"/>
    <w:rsid w:val="005C424E"/>
    <w:rsid w:val="005D1FF9"/>
    <w:rsid w:val="005D34B9"/>
    <w:rsid w:val="005D6E14"/>
    <w:rsid w:val="005F43E7"/>
    <w:rsid w:val="005F4A12"/>
    <w:rsid w:val="0060178E"/>
    <w:rsid w:val="006078F9"/>
    <w:rsid w:val="00610F28"/>
    <w:rsid w:val="00620E58"/>
    <w:rsid w:val="006270C6"/>
    <w:rsid w:val="006354FD"/>
    <w:rsid w:val="00641607"/>
    <w:rsid w:val="00656D1E"/>
    <w:rsid w:val="00662C5F"/>
    <w:rsid w:val="006650D7"/>
    <w:rsid w:val="00673FC9"/>
    <w:rsid w:val="006766CC"/>
    <w:rsid w:val="00676BF1"/>
    <w:rsid w:val="00682F45"/>
    <w:rsid w:val="006924C4"/>
    <w:rsid w:val="006936A2"/>
    <w:rsid w:val="006971C6"/>
    <w:rsid w:val="006A5ACB"/>
    <w:rsid w:val="006D6052"/>
    <w:rsid w:val="006D7E4D"/>
    <w:rsid w:val="006E5ECD"/>
    <w:rsid w:val="006F0A44"/>
    <w:rsid w:val="006F5EBB"/>
    <w:rsid w:val="00710192"/>
    <w:rsid w:val="0071030A"/>
    <w:rsid w:val="007265DC"/>
    <w:rsid w:val="007336F9"/>
    <w:rsid w:val="00742C69"/>
    <w:rsid w:val="00783BAD"/>
    <w:rsid w:val="007A02CE"/>
    <w:rsid w:val="007B3CF7"/>
    <w:rsid w:val="007D0F9B"/>
    <w:rsid w:val="007D60DD"/>
    <w:rsid w:val="007E3C6F"/>
    <w:rsid w:val="00801F3F"/>
    <w:rsid w:val="00815068"/>
    <w:rsid w:val="00816734"/>
    <w:rsid w:val="00821D06"/>
    <w:rsid w:val="00822809"/>
    <w:rsid w:val="00830963"/>
    <w:rsid w:val="00834ED6"/>
    <w:rsid w:val="00840944"/>
    <w:rsid w:val="00843852"/>
    <w:rsid w:val="00856037"/>
    <w:rsid w:val="00857022"/>
    <w:rsid w:val="008854AA"/>
    <w:rsid w:val="008A4AAA"/>
    <w:rsid w:val="008A7835"/>
    <w:rsid w:val="008B6DA8"/>
    <w:rsid w:val="008C2638"/>
    <w:rsid w:val="008C5FEB"/>
    <w:rsid w:val="008D1C56"/>
    <w:rsid w:val="008D26E3"/>
    <w:rsid w:val="0095469C"/>
    <w:rsid w:val="00964943"/>
    <w:rsid w:val="00976AA3"/>
    <w:rsid w:val="009B1AC1"/>
    <w:rsid w:val="009B2C90"/>
    <w:rsid w:val="009B7757"/>
    <w:rsid w:val="009D37B4"/>
    <w:rsid w:val="009F0B2A"/>
    <w:rsid w:val="009F720C"/>
    <w:rsid w:val="00A00E85"/>
    <w:rsid w:val="00A17F2F"/>
    <w:rsid w:val="00A23802"/>
    <w:rsid w:val="00A24C77"/>
    <w:rsid w:val="00A2745B"/>
    <w:rsid w:val="00A42276"/>
    <w:rsid w:val="00A4662B"/>
    <w:rsid w:val="00A5183F"/>
    <w:rsid w:val="00A61547"/>
    <w:rsid w:val="00A63BB3"/>
    <w:rsid w:val="00A87EDF"/>
    <w:rsid w:val="00A923A5"/>
    <w:rsid w:val="00A9770F"/>
    <w:rsid w:val="00AA3D07"/>
    <w:rsid w:val="00AA6438"/>
    <w:rsid w:val="00AC2F1D"/>
    <w:rsid w:val="00AD08EA"/>
    <w:rsid w:val="00AD2FCB"/>
    <w:rsid w:val="00AF6720"/>
    <w:rsid w:val="00B11136"/>
    <w:rsid w:val="00B40C50"/>
    <w:rsid w:val="00B42100"/>
    <w:rsid w:val="00B44886"/>
    <w:rsid w:val="00B4531D"/>
    <w:rsid w:val="00B55CB9"/>
    <w:rsid w:val="00B56602"/>
    <w:rsid w:val="00B66E6A"/>
    <w:rsid w:val="00B70456"/>
    <w:rsid w:val="00B76CEA"/>
    <w:rsid w:val="00B873BB"/>
    <w:rsid w:val="00B91775"/>
    <w:rsid w:val="00B9667B"/>
    <w:rsid w:val="00BA7E73"/>
    <w:rsid w:val="00BB2FD1"/>
    <w:rsid w:val="00BB570E"/>
    <w:rsid w:val="00BC32B0"/>
    <w:rsid w:val="00BC4FCA"/>
    <w:rsid w:val="00BC7120"/>
    <w:rsid w:val="00BC7242"/>
    <w:rsid w:val="00BD06B5"/>
    <w:rsid w:val="00BD2424"/>
    <w:rsid w:val="00BD34C8"/>
    <w:rsid w:val="00BE69CE"/>
    <w:rsid w:val="00BF0FDB"/>
    <w:rsid w:val="00BF5D55"/>
    <w:rsid w:val="00C01BC1"/>
    <w:rsid w:val="00C41BB4"/>
    <w:rsid w:val="00C428EA"/>
    <w:rsid w:val="00C42F72"/>
    <w:rsid w:val="00C617FD"/>
    <w:rsid w:val="00C61D3E"/>
    <w:rsid w:val="00C67E84"/>
    <w:rsid w:val="00C707E7"/>
    <w:rsid w:val="00C71332"/>
    <w:rsid w:val="00C76C38"/>
    <w:rsid w:val="00CA7F1B"/>
    <w:rsid w:val="00CB004E"/>
    <w:rsid w:val="00CB6E34"/>
    <w:rsid w:val="00CC560F"/>
    <w:rsid w:val="00CC65E0"/>
    <w:rsid w:val="00CD0EA3"/>
    <w:rsid w:val="00CD141B"/>
    <w:rsid w:val="00CF32B5"/>
    <w:rsid w:val="00CF5DB6"/>
    <w:rsid w:val="00D00EFE"/>
    <w:rsid w:val="00D0168B"/>
    <w:rsid w:val="00D039C0"/>
    <w:rsid w:val="00D24F0E"/>
    <w:rsid w:val="00D37356"/>
    <w:rsid w:val="00D4027B"/>
    <w:rsid w:val="00D42E15"/>
    <w:rsid w:val="00D53566"/>
    <w:rsid w:val="00D54CB5"/>
    <w:rsid w:val="00D6185F"/>
    <w:rsid w:val="00D65F0E"/>
    <w:rsid w:val="00D71E8A"/>
    <w:rsid w:val="00D730FC"/>
    <w:rsid w:val="00D84920"/>
    <w:rsid w:val="00D942BB"/>
    <w:rsid w:val="00D95D63"/>
    <w:rsid w:val="00DB07E7"/>
    <w:rsid w:val="00DD0D05"/>
    <w:rsid w:val="00DE47CA"/>
    <w:rsid w:val="00DE4EB0"/>
    <w:rsid w:val="00DE7A52"/>
    <w:rsid w:val="00DF3573"/>
    <w:rsid w:val="00DF7273"/>
    <w:rsid w:val="00DF7A1D"/>
    <w:rsid w:val="00E12D84"/>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041DB"/>
    <w:rsid w:val="00F246BC"/>
    <w:rsid w:val="00F24D5C"/>
    <w:rsid w:val="00F30595"/>
    <w:rsid w:val="00F353B4"/>
    <w:rsid w:val="00F3588E"/>
    <w:rsid w:val="00F43D93"/>
    <w:rsid w:val="00F46099"/>
    <w:rsid w:val="00F5351D"/>
    <w:rsid w:val="00F562FB"/>
    <w:rsid w:val="00F63924"/>
    <w:rsid w:val="00F66B83"/>
    <w:rsid w:val="00FB6838"/>
    <w:rsid w:val="00FE253D"/>
    <w:rsid w:val="00FE675D"/>
    <w:rsid w:val="00FF1A6C"/>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665CBB"/>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4"/>
    <w:semiHidden/>
    <w:unhideWhenUsed/>
    <w:qFormat/>
    <w:uiPriority w:val="99"/>
    <w:pPr>
      <w:spacing w:line="240" w:lineRule="auto"/>
    </w:pPr>
    <w:rPr>
      <w:sz w:val="18"/>
      <w:szCs w:val="18"/>
    </w:rPr>
  </w:style>
  <w:style w:type="paragraph" w:styleId="4">
    <w:name w:val="footer"/>
    <w:basedOn w:val="1"/>
    <w:link w:val="13"/>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0"/>
    <w:pPr>
      <w:spacing w:before="100" w:beforeAutospacing="1" w:after="100" w:afterAutospacing="1" w:line="240" w:lineRule="auto"/>
      <w:jc w:val="left"/>
    </w:pPr>
    <w:rPr>
      <w:rFonts w:eastAsia="宋体" w:asciiTheme="minorHAnsi" w:hAnsiTheme="minorHAnsi"/>
      <w:b/>
      <w:spacing w:val="-20"/>
      <w:kern w:val="0"/>
      <w:position w:val="-28"/>
      <w:sz w:val="24"/>
    </w:rPr>
  </w:style>
  <w:style w:type="table" w:styleId="8">
    <w:name w:val="Table Grid"/>
    <w:basedOn w:val="7"/>
    <w:qFormat/>
    <w:locked/>
    <w:uiPriority w:val="59"/>
    <w:rPr>
      <w:rFonts w:ascii="Calibri" w:hAnsi="Calibr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page number"/>
    <w:basedOn w:val="9"/>
    <w:qFormat/>
    <w:uiPriority w:val="0"/>
  </w:style>
  <w:style w:type="paragraph" w:customStyle="1" w:styleId="11">
    <w:name w:val="Char"/>
    <w:basedOn w:val="1"/>
    <w:qFormat/>
    <w:uiPriority w:val="99"/>
    <w:pPr>
      <w:spacing w:line="240" w:lineRule="auto"/>
    </w:pPr>
    <w:rPr>
      <w:rFonts w:ascii="Times New Roman" w:hAnsi="Times New Roman" w:eastAsia="宋体"/>
      <w:sz w:val="21"/>
      <w:szCs w:val="20"/>
    </w:rPr>
  </w:style>
  <w:style w:type="character" w:customStyle="1" w:styleId="12">
    <w:name w:val="页眉 Char"/>
    <w:link w:val="5"/>
    <w:qFormat/>
    <w:locked/>
    <w:uiPriority w:val="99"/>
    <w:rPr>
      <w:rFonts w:ascii="仿宋_GB2312" w:hAnsi="Calibri" w:eastAsia="仿宋_GB2312" w:cs="Times New Roman"/>
      <w:sz w:val="18"/>
      <w:szCs w:val="18"/>
    </w:rPr>
  </w:style>
  <w:style w:type="character" w:customStyle="1" w:styleId="13">
    <w:name w:val="页脚 Char"/>
    <w:link w:val="4"/>
    <w:qFormat/>
    <w:locked/>
    <w:uiPriority w:val="99"/>
    <w:rPr>
      <w:rFonts w:ascii="仿宋_GB2312" w:hAnsi="Calibri" w:eastAsia="仿宋_GB2312" w:cs="Times New Roman"/>
      <w:sz w:val="18"/>
      <w:szCs w:val="18"/>
    </w:rPr>
  </w:style>
  <w:style w:type="character" w:customStyle="1" w:styleId="14">
    <w:name w:val="批注框文本 Char"/>
    <w:link w:val="3"/>
    <w:semiHidden/>
    <w:qFormat/>
    <w:uiPriority w:val="99"/>
    <w:rPr>
      <w:rFonts w:ascii="仿宋_GB2312" w:eastAsia="仿宋_GB2312"/>
      <w:kern w:val="2"/>
      <w:sz w:val="18"/>
      <w:szCs w:val="18"/>
    </w:rPr>
  </w:style>
  <w:style w:type="character" w:customStyle="1" w:styleId="15">
    <w:name w:val="日期 Char"/>
    <w:link w:val="2"/>
    <w:semiHidden/>
    <w:qFormat/>
    <w:locked/>
    <w:uiPriority w:val="99"/>
    <w:rPr>
      <w:rFonts w:ascii="Times New Roman" w:hAnsi="Times New Roman"/>
      <w:sz w:val="24"/>
      <w:szCs w:val="24"/>
    </w:rPr>
  </w:style>
  <w:style w:type="character" w:customStyle="1" w:styleId="16">
    <w:name w:val="日期 Char1"/>
    <w:basedOn w:val="9"/>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10</Pages>
  <Words>936</Words>
  <Characters>5338</Characters>
  <Lines>44</Lines>
  <Paragraphs>12</Paragraphs>
  <TotalTime>352</TotalTime>
  <ScaleCrop>false</ScaleCrop>
  <LinksUpToDate>false</LinksUpToDate>
  <CharactersWithSpaces>6262</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2020-04-07T06:25:00Z</cp:lastPrinted>
  <dcterms:modified xsi:type="dcterms:W3CDTF">2021-05-13T01:29:16Z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