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4</w:t>
      </w:r>
    </w:p>
    <w:tbl>
      <w:tblPr>
        <w:tblStyle w:val="3"/>
        <w:tblW w:w="9080" w:type="dxa"/>
        <w:jc w:val="center"/>
        <w:tblInd w:w="0" w:type="dxa"/>
        <w:tblLayout w:type="fixed"/>
        <w:tblCellMar>
          <w:top w:w="0" w:type="dxa"/>
          <w:left w:w="108" w:type="dxa"/>
          <w:bottom w:w="0" w:type="dxa"/>
          <w:right w:w="108" w:type="dxa"/>
        </w:tblCellMar>
      </w:tblPr>
      <w:tblGrid>
        <w:gridCol w:w="588"/>
        <w:gridCol w:w="980"/>
        <w:gridCol w:w="1112"/>
        <w:gridCol w:w="730"/>
        <w:gridCol w:w="1134"/>
        <w:gridCol w:w="284"/>
        <w:gridCol w:w="850"/>
        <w:gridCol w:w="851"/>
        <w:gridCol w:w="283"/>
        <w:gridCol w:w="284"/>
        <w:gridCol w:w="425"/>
        <w:gridCol w:w="142"/>
        <w:gridCol w:w="709"/>
        <w:gridCol w:w="708"/>
      </w:tblGrid>
      <w:tr>
        <w:tblPrEx>
          <w:tblLayout w:type="fixed"/>
          <w:tblCellMar>
            <w:top w:w="0" w:type="dxa"/>
            <w:left w:w="108" w:type="dxa"/>
            <w:bottom w:w="0" w:type="dxa"/>
            <w:right w:w="108" w:type="dxa"/>
          </w:tblCellMar>
        </w:tblPrEx>
        <w:trPr>
          <w:trHeight w:val="771" w:hRule="exact"/>
          <w:jc w:val="center"/>
        </w:trPr>
        <w:tc>
          <w:tcPr>
            <w:tcW w:w="9080" w:type="dxa"/>
            <w:gridSpan w:val="14"/>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宋体" w:hAnsi="宋体" w:eastAsia="宋体" w:cs="宋体"/>
                <w:b/>
                <w:bCs/>
                <w:kern w:val="0"/>
                <w:sz w:val="32"/>
                <w:szCs w:val="32"/>
              </w:rPr>
            </w:pPr>
            <w:r>
              <w:rPr>
                <w:rFonts w:hint="eastAsia" w:ascii="仿宋" w:hAnsi="仿宋" w:eastAsia="仿宋" w:cs="仿宋"/>
                <w:b w:val="0"/>
                <w:bCs w:val="0"/>
                <w:kern w:val="0"/>
                <w:sz w:val="36"/>
                <w:szCs w:val="36"/>
              </w:rPr>
              <w:t>2019</w:t>
            </w:r>
            <w:r>
              <w:rPr>
                <w:rFonts w:hint="eastAsia" w:ascii="方正小标宋_GBK" w:hAnsi="方正小标宋_GBK" w:eastAsia="方正小标宋_GBK" w:cs="方正小标宋_GBK"/>
                <w:b w:val="0"/>
                <w:bCs w:val="0"/>
                <w:kern w:val="0"/>
                <w:sz w:val="36"/>
                <w:szCs w:val="36"/>
              </w:rPr>
              <w:t>年</w:t>
            </w:r>
            <w:r>
              <w:rPr>
                <w:rFonts w:hint="eastAsia" w:ascii="方正小标宋_GBK" w:hAnsi="方正小标宋_GBK" w:eastAsia="方正小标宋_GBK" w:cs="方正小标宋_GBK"/>
                <w:b w:val="0"/>
                <w:bCs w:val="0"/>
                <w:kern w:val="0"/>
                <w:sz w:val="36"/>
                <w:szCs w:val="36"/>
                <w:lang w:eastAsia="zh-CN"/>
              </w:rPr>
              <w:t>度</w:t>
            </w:r>
            <w:r>
              <w:rPr>
                <w:rFonts w:hint="eastAsia" w:ascii="方正小标宋_GBK" w:hAnsi="方正小标宋_GBK" w:eastAsia="方正小标宋_GBK" w:cs="方正小标宋_GBK"/>
                <w:b w:val="0"/>
                <w:bCs w:val="0"/>
                <w:kern w:val="0"/>
                <w:sz w:val="36"/>
                <w:szCs w:val="36"/>
              </w:rPr>
              <w:t>专项资金绩效评价自评表</w:t>
            </w:r>
          </w:p>
        </w:tc>
      </w:tr>
      <w:tr>
        <w:tblPrEx>
          <w:tblLayout w:type="fixed"/>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项目名称</w:t>
            </w:r>
          </w:p>
        </w:tc>
        <w:tc>
          <w:tcPr>
            <w:tcW w:w="7512"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基层派出所建设</w:t>
            </w:r>
          </w:p>
        </w:tc>
      </w:tr>
      <w:tr>
        <w:tblPrEx>
          <w:tblLayout w:type="fixed"/>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主管部门</w:t>
            </w:r>
          </w:p>
        </w:tc>
        <w:tc>
          <w:tcPr>
            <w:tcW w:w="411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长沙市公安局望城分局</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实施单位</w:t>
            </w:r>
          </w:p>
        </w:tc>
        <w:tc>
          <w:tcPr>
            <w:tcW w:w="2268"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长沙市公安局望城分局</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项目资金</w:t>
            </w:r>
            <w:r>
              <w:rPr>
                <w:rFonts w:hint="eastAsia" w:ascii="宋体" w:hAnsi="宋体" w:eastAsia="宋体" w:cs="宋体"/>
                <w:kern w:val="0"/>
                <w:sz w:val="18"/>
                <w:szCs w:val="18"/>
                <w:lang w:eastAsia="zh-CN"/>
              </w:rPr>
              <w:br w:type="textWrapping"/>
            </w:r>
            <w:r>
              <w:rPr>
                <w:rFonts w:hint="eastAsia" w:ascii="宋体" w:hAnsi="宋体" w:eastAsia="宋体" w:cs="宋体"/>
                <w:kern w:val="0"/>
                <w:sz w:val="18"/>
                <w:szCs w:val="18"/>
                <w:lang w:eastAsia="zh-CN"/>
              </w:rPr>
              <w:t>（万元）</w:t>
            </w: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年初预算数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全年预算数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全年执行数</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分值</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执行率</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得分</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1864</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1864</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10</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1864</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1864</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 xml:space="preserve">      上年结转资金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r>
      <w:tr>
        <w:tblPrEx>
          <w:tblLayout w:type="fixed"/>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r>
      <w:tr>
        <w:tblPrEx>
          <w:tblLayout w:type="fixed"/>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年度总体目标</w:t>
            </w: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预期目标</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实际完成情况</w:t>
            </w:r>
          </w:p>
        </w:tc>
      </w:tr>
      <w:tr>
        <w:tblPrEx>
          <w:tblLayout w:type="fixed"/>
          <w:tblCellMar>
            <w:top w:w="0" w:type="dxa"/>
            <w:left w:w="108" w:type="dxa"/>
            <w:bottom w:w="0" w:type="dxa"/>
            <w:right w:w="108" w:type="dxa"/>
          </w:tblCellMar>
        </w:tblPrEx>
        <w:trPr>
          <w:trHeight w:val="799"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民生配套工程、健全社会防控体系，按公安部要求配套“一街一所”</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年内支付完月亮岛派出所基建工程款，完成铜官、桥驿派出所搬迁，黄金园和白沙洲主体建设完成。</w:t>
            </w:r>
          </w:p>
        </w:tc>
      </w:tr>
      <w:tr>
        <w:tblPrEx>
          <w:tblLayout w:type="fixed"/>
          <w:tblCellMar>
            <w:top w:w="0" w:type="dxa"/>
            <w:left w:w="108" w:type="dxa"/>
            <w:bottom w:w="0" w:type="dxa"/>
            <w:right w:w="108" w:type="dxa"/>
          </w:tblCellMar>
        </w:tblPrEx>
        <w:trPr>
          <w:trHeight w:val="533"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绩</w:t>
            </w:r>
            <w:r>
              <w:rPr>
                <w:rFonts w:hint="eastAsia" w:ascii="宋体" w:hAnsi="宋体" w:eastAsia="宋体" w:cs="宋体"/>
                <w:kern w:val="0"/>
                <w:sz w:val="18"/>
                <w:szCs w:val="18"/>
                <w:lang w:eastAsia="zh-CN"/>
              </w:rPr>
              <w:br w:type="textWrapping"/>
            </w:r>
            <w:r>
              <w:rPr>
                <w:rFonts w:hint="eastAsia" w:ascii="宋体" w:hAnsi="宋体" w:eastAsia="宋体" w:cs="宋体"/>
                <w:kern w:val="0"/>
                <w:sz w:val="18"/>
                <w:szCs w:val="18"/>
                <w:lang w:eastAsia="zh-CN"/>
              </w:rPr>
              <w:t>效</w:t>
            </w:r>
            <w:r>
              <w:rPr>
                <w:rFonts w:hint="eastAsia" w:ascii="宋体" w:hAnsi="宋体" w:eastAsia="宋体" w:cs="宋体"/>
                <w:kern w:val="0"/>
                <w:sz w:val="18"/>
                <w:szCs w:val="18"/>
                <w:lang w:eastAsia="zh-CN"/>
              </w:rPr>
              <w:br w:type="textWrapping"/>
            </w:r>
            <w:r>
              <w:rPr>
                <w:rFonts w:hint="eastAsia" w:ascii="宋体" w:hAnsi="宋体" w:eastAsia="宋体" w:cs="宋体"/>
                <w:kern w:val="0"/>
                <w:sz w:val="18"/>
                <w:szCs w:val="18"/>
                <w:lang w:eastAsia="zh-CN"/>
              </w:rPr>
              <w:t>指</w:t>
            </w:r>
            <w:r>
              <w:rPr>
                <w:rFonts w:hint="eastAsia" w:ascii="宋体" w:hAnsi="宋体" w:eastAsia="宋体" w:cs="宋体"/>
                <w:kern w:val="0"/>
                <w:sz w:val="18"/>
                <w:szCs w:val="18"/>
                <w:lang w:eastAsia="zh-CN"/>
              </w:rPr>
              <w:br w:type="textWrapping"/>
            </w:r>
            <w:r>
              <w:rPr>
                <w:rFonts w:hint="eastAsia" w:ascii="宋体" w:hAnsi="宋体" w:eastAsia="宋体" w:cs="宋体"/>
                <w:kern w:val="0"/>
                <w:sz w:val="18"/>
                <w:szCs w:val="18"/>
                <w:lang w:eastAsia="zh-CN"/>
              </w:rPr>
              <w:t>标</w:t>
            </w:r>
          </w:p>
        </w:tc>
        <w:tc>
          <w:tcPr>
            <w:tcW w:w="98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一级指标</w:t>
            </w:r>
          </w:p>
        </w:tc>
        <w:tc>
          <w:tcPr>
            <w:tcW w:w="1112"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二级指标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三级</w:t>
            </w:r>
            <w:r>
              <w:rPr>
                <w:rFonts w:hint="eastAsia"/>
                <w:kern w:val="0"/>
                <w:szCs w:val="21"/>
                <w:lang w:eastAsia="zh-CN"/>
              </w:rPr>
              <w:t>指标</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年度</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指标值</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实际</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完成值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分值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得分</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偏差原因分析及改进措施</w:t>
            </w:r>
          </w:p>
        </w:tc>
      </w:tr>
      <w:tr>
        <w:tblPrEx>
          <w:tblLayout w:type="fixed"/>
          <w:tblCellMar>
            <w:top w:w="0" w:type="dxa"/>
            <w:left w:w="108" w:type="dxa"/>
            <w:bottom w:w="0" w:type="dxa"/>
            <w:right w:w="108" w:type="dxa"/>
          </w:tblCellMar>
        </w:tblPrEx>
        <w:trPr>
          <w:trHeight w:val="7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产出指标</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数量指标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w:t>
            </w:r>
            <w:r>
              <w:rPr>
                <w:rFonts w:hint="eastAsia"/>
                <w:kern w:val="0"/>
                <w:sz w:val="18"/>
                <w:szCs w:val="18"/>
              </w:rPr>
              <w:t>支付月亮岛派出所基建工程款</w:t>
            </w:r>
          </w:p>
        </w:tc>
        <w:tc>
          <w:tcPr>
            <w:tcW w:w="850" w:type="dxa"/>
            <w:tcBorders>
              <w:top w:val="nil"/>
              <w:left w:val="nil"/>
              <w:bottom w:val="single" w:color="auto" w:sz="4" w:space="0"/>
              <w:right w:val="single" w:color="auto" w:sz="4" w:space="0"/>
            </w:tcBorders>
            <w:vAlign w:val="center"/>
          </w:tcPr>
          <w:p>
            <w:pPr>
              <w:widowControl/>
              <w:spacing w:line="280" w:lineRule="exac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563"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r>
              <w:rPr>
                <w:rFonts w:hint="eastAsia"/>
                <w:kern w:val="0"/>
                <w:sz w:val="18"/>
                <w:szCs w:val="18"/>
              </w:rPr>
              <w:t>完成铜官</w:t>
            </w:r>
            <w:r>
              <w:rPr>
                <w:rFonts w:hint="eastAsia"/>
                <w:kern w:val="0"/>
                <w:sz w:val="18"/>
                <w:szCs w:val="18"/>
                <w:lang w:eastAsia="zh-CN"/>
              </w:rPr>
              <w:t>桥驿</w:t>
            </w:r>
            <w:r>
              <w:rPr>
                <w:rFonts w:hint="eastAsia"/>
                <w:kern w:val="0"/>
                <w:sz w:val="18"/>
                <w:szCs w:val="18"/>
              </w:rPr>
              <w:t>派出所搬迁</w:t>
            </w:r>
          </w:p>
        </w:tc>
        <w:tc>
          <w:tcPr>
            <w:tcW w:w="850" w:type="dxa"/>
            <w:tcBorders>
              <w:top w:val="nil"/>
              <w:left w:val="nil"/>
              <w:bottom w:val="single" w:color="auto" w:sz="4" w:space="0"/>
              <w:right w:val="single" w:color="auto" w:sz="4" w:space="0"/>
            </w:tcBorders>
            <w:vAlign w:val="center"/>
          </w:tcPr>
          <w:p>
            <w:pPr>
              <w:widowControl/>
              <w:spacing w:line="280" w:lineRule="exact"/>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57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r>
              <w:rPr>
                <w:rFonts w:hint="eastAsia"/>
                <w:kern w:val="0"/>
                <w:sz w:val="18"/>
                <w:szCs w:val="18"/>
              </w:rPr>
              <w:t>完成</w:t>
            </w:r>
            <w:r>
              <w:rPr>
                <w:rFonts w:hint="eastAsia"/>
                <w:kern w:val="0"/>
                <w:sz w:val="18"/>
                <w:szCs w:val="18"/>
                <w:lang w:eastAsia="zh-CN"/>
              </w:rPr>
              <w:t>黄金园和白沙洲</w:t>
            </w:r>
            <w:r>
              <w:rPr>
                <w:rFonts w:hint="eastAsia"/>
                <w:kern w:val="0"/>
                <w:sz w:val="18"/>
                <w:szCs w:val="18"/>
              </w:rPr>
              <w:t>派出所</w:t>
            </w:r>
            <w:r>
              <w:rPr>
                <w:rFonts w:hint="eastAsia" w:ascii="宋体" w:hAnsi="宋体" w:eastAsia="宋体" w:cs="宋体"/>
                <w:kern w:val="0"/>
                <w:sz w:val="18"/>
                <w:szCs w:val="18"/>
                <w:lang w:eastAsia="zh-CN"/>
              </w:rPr>
              <w:t>主体建设</w:t>
            </w:r>
          </w:p>
        </w:tc>
        <w:tc>
          <w:tcPr>
            <w:tcW w:w="850" w:type="dxa"/>
            <w:tcBorders>
              <w:top w:val="nil"/>
              <w:left w:val="nil"/>
              <w:bottom w:val="single" w:color="auto" w:sz="4" w:space="0"/>
              <w:right w:val="single" w:color="auto" w:sz="4" w:space="0"/>
            </w:tcBorders>
            <w:vAlign w:val="center"/>
          </w:tcPr>
          <w:p>
            <w:pPr>
              <w:widowControl/>
              <w:spacing w:line="280" w:lineRule="exact"/>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白沙洲派出所建设进行中</w:t>
            </w:r>
          </w:p>
        </w:tc>
      </w:tr>
      <w:tr>
        <w:tblPrEx>
          <w:tblLayout w:type="fixed"/>
          <w:tblCellMar>
            <w:top w:w="0" w:type="dxa"/>
            <w:left w:w="108" w:type="dxa"/>
            <w:bottom w:w="0" w:type="dxa"/>
            <w:right w:w="108" w:type="dxa"/>
          </w:tblCellMar>
        </w:tblPrEx>
        <w:trPr>
          <w:trHeight w:val="67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质量指标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w:t>
            </w:r>
            <w:r>
              <w:rPr>
                <w:rFonts w:hint="eastAsia"/>
                <w:kern w:val="0"/>
                <w:sz w:val="18"/>
                <w:szCs w:val="18"/>
              </w:rPr>
              <w:t>按公安部要求统一标准，由区工务局代征代建，严格执行招投标程序　</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r>
              <w:rPr>
                <w:rFonts w:hint="eastAsia"/>
                <w:kern w:val="0"/>
                <w:sz w:val="18"/>
                <w:szCs w:val="18"/>
              </w:rPr>
              <w:t>按公安部要求统一标准建设，按照长沙市公安局长公网传发【2017】849号文件组织验收</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时效指标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w:t>
            </w:r>
            <w:r>
              <w:rPr>
                <w:rFonts w:hint="eastAsia"/>
                <w:kern w:val="0"/>
                <w:sz w:val="18"/>
                <w:szCs w:val="18"/>
              </w:rPr>
              <w:t>2019年底前完成</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80%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412"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r>
              <w:rPr>
                <w:rFonts w:hint="eastAsia"/>
                <w:kern w:val="0"/>
                <w:sz w:val="18"/>
                <w:szCs w:val="18"/>
              </w:rPr>
              <w:t>是否按基建计划进度完成</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5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成本指标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w:t>
            </w:r>
            <w:r>
              <w:rPr>
                <w:rFonts w:hint="eastAsia"/>
                <w:kern w:val="0"/>
                <w:sz w:val="18"/>
                <w:szCs w:val="18"/>
              </w:rPr>
              <w:t>预算</w:t>
            </w:r>
            <w:r>
              <w:rPr>
                <w:rFonts w:hint="eastAsia"/>
                <w:kern w:val="0"/>
                <w:sz w:val="18"/>
                <w:szCs w:val="18"/>
                <w:lang w:val="en-US" w:eastAsia="zh-CN"/>
              </w:rPr>
              <w:t>2500</w:t>
            </w:r>
            <w:r>
              <w:rPr>
                <w:rFonts w:hint="eastAsia"/>
                <w:kern w:val="0"/>
                <w:sz w:val="18"/>
                <w:szCs w:val="18"/>
              </w:rPr>
              <w:t>万元不超支</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837"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效益指标</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经济效益</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w:t>
            </w:r>
            <w:r>
              <w:rPr>
                <w:rFonts w:hint="eastAsia"/>
                <w:kern w:val="0"/>
                <w:sz w:val="18"/>
                <w:szCs w:val="18"/>
              </w:rPr>
              <w:t>为区域经济发展保驾护航</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kern w:val="0"/>
                <w:sz w:val="18"/>
                <w:szCs w:val="18"/>
              </w:rPr>
              <w:t>为区域经济发展保驾护航</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kern w:val="0"/>
                <w:sz w:val="18"/>
                <w:szCs w:val="18"/>
              </w:rPr>
              <w:t>为区域经济发展保驾护航</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1137"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社会效益</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w:t>
            </w:r>
            <w:r>
              <w:rPr>
                <w:rFonts w:hint="eastAsia"/>
                <w:kern w:val="0"/>
                <w:sz w:val="18"/>
                <w:szCs w:val="18"/>
              </w:rPr>
              <w:t>维护社会大局稳定，提高治安防控、人口管理等水平，所建派出所管辖片区内，发案率降低</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color w:val="auto"/>
                <w:kern w:val="0"/>
                <w:sz w:val="18"/>
                <w:szCs w:val="18"/>
                <w:lang w:eastAsia="zh-CN"/>
              </w:rPr>
            </w:pPr>
            <w:r>
              <w:rPr>
                <w:rFonts w:hint="eastAsia"/>
                <w:color w:val="auto"/>
                <w:kern w:val="0"/>
                <w:sz w:val="18"/>
                <w:szCs w:val="18"/>
              </w:rPr>
              <w:t>　</w:t>
            </w:r>
            <w:r>
              <w:rPr>
                <w:rFonts w:hint="eastAsia" w:ascii="宋体" w:hAnsi="宋体" w:cs="宋体"/>
                <w:color w:val="auto"/>
                <w:kern w:val="0"/>
                <w:sz w:val="18"/>
                <w:szCs w:val="18"/>
              </w:rPr>
              <w:t>≧</w:t>
            </w:r>
            <w:r>
              <w:rPr>
                <w:rFonts w:hint="eastAsia"/>
                <w:color w:val="auto"/>
                <w:kern w:val="0"/>
                <w:sz w:val="18"/>
                <w:szCs w:val="18"/>
              </w:rPr>
              <w:t>1%</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kern w:val="0"/>
                <w:sz w:val="18"/>
                <w:szCs w:val="18"/>
              </w:rPr>
              <w:t>所建派出所管辖片区内，发案率降低</w:t>
            </w:r>
            <w:r>
              <w:rPr>
                <w:rFonts w:hint="eastAsia"/>
                <w:kern w:val="0"/>
                <w:sz w:val="18"/>
                <w:szCs w:val="18"/>
                <w:lang w:val="en-US" w:eastAsia="zh-CN"/>
              </w:rPr>
              <w:t>1.2%</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613"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生态效益</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指标1：维护社会大局稳定，提高治安防控、人口管理等水平</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kern w:val="0"/>
                <w:sz w:val="18"/>
                <w:szCs w:val="18"/>
              </w:rPr>
              <w:t>维护社会大局稳定，提高治安防控、人口管理等水平</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color w:val="auto"/>
                <w:kern w:val="0"/>
                <w:sz w:val="18"/>
                <w:szCs w:val="18"/>
                <w:lang w:eastAsia="zh-CN"/>
              </w:rPr>
              <w:t>有效维护了社会大局稳定</w:t>
            </w:r>
            <w:r>
              <w:rPr>
                <w:rFonts w:hint="eastAsia"/>
                <w:color w:val="auto"/>
                <w:kern w:val="0"/>
                <w:sz w:val="18"/>
                <w:szCs w:val="18"/>
              </w:rPr>
              <w:t>　</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7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可持续影响指标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指标1：所建派出所管辖片区内，破案率</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kern w:val="0"/>
                <w:sz w:val="18"/>
                <w:szCs w:val="18"/>
              </w:rPr>
              <w:t>显著提高</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破案率同比提高</w:t>
            </w:r>
            <w:r>
              <w:rPr>
                <w:rFonts w:hint="eastAsia" w:ascii="宋体" w:hAnsi="宋体" w:eastAsia="宋体" w:cs="宋体"/>
                <w:kern w:val="0"/>
                <w:sz w:val="18"/>
                <w:szCs w:val="18"/>
                <w:lang w:val="en-US" w:eastAsia="zh-CN"/>
              </w:rPr>
              <w:t>1%</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10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r>
              <w:rPr>
                <w:rFonts w:hint="eastAsia"/>
                <w:kern w:val="0"/>
                <w:sz w:val="18"/>
                <w:szCs w:val="18"/>
              </w:rPr>
              <w:t>派出所接待群众数量</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仿宋_GB2312" w:cs="宋体"/>
                <w:kern w:val="0"/>
                <w:sz w:val="18"/>
                <w:szCs w:val="18"/>
                <w:lang w:eastAsia="zh-CN"/>
              </w:rPr>
            </w:pPr>
            <w:r>
              <w:rPr>
                <w:rFonts w:hint="eastAsia"/>
                <w:kern w:val="0"/>
                <w:sz w:val="18"/>
                <w:szCs w:val="18"/>
              </w:rPr>
              <w:t>显著</w:t>
            </w:r>
            <w:r>
              <w:rPr>
                <w:rFonts w:hint="eastAsia"/>
                <w:kern w:val="0"/>
                <w:sz w:val="18"/>
                <w:szCs w:val="18"/>
                <w:lang w:eastAsia="zh-CN"/>
              </w:rPr>
              <w:t>增加</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群众办事人数同比提高</w:t>
            </w:r>
            <w:r>
              <w:rPr>
                <w:rFonts w:hint="eastAsia" w:ascii="宋体" w:hAnsi="宋体" w:eastAsia="宋体" w:cs="宋体"/>
                <w:kern w:val="0"/>
                <w:sz w:val="18"/>
                <w:szCs w:val="18"/>
                <w:lang w:val="en-US" w:eastAsia="zh-CN"/>
              </w:rPr>
              <w:t>2%</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1599"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restart"/>
            <w:tcBorders>
              <w:top w:val="nil"/>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满意度</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服务对象满意度指标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指标1：</w:t>
            </w:r>
            <w:r>
              <w:rPr>
                <w:rFonts w:hint="eastAsia" w:ascii="宋体" w:hAnsi="宋体"/>
                <w:sz w:val="18"/>
                <w:szCs w:val="18"/>
              </w:rPr>
              <w:t>群众安全感满意度不断提高，综治民调排名</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sz w:val="18"/>
                <w:szCs w:val="18"/>
              </w:rPr>
              <w:t>全市前50%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hAnsi="仿宋_GB2312" w:cs="仿宋_GB2312"/>
                <w:kern w:val="0"/>
                <w:sz w:val="18"/>
                <w:szCs w:val="18"/>
                <w:lang w:val="en-US" w:eastAsia="zh-CN"/>
              </w:rPr>
              <w:t>2019年综治民调得分90.69分，全</w:t>
            </w:r>
            <w:r>
              <w:rPr>
                <w:rFonts w:hint="eastAsia" w:hAnsi="仿宋_GB2312" w:cs="仿宋_GB2312"/>
                <w:kern w:val="0"/>
                <w:sz w:val="21"/>
                <w:szCs w:val="21"/>
                <w:lang w:val="en-US" w:eastAsia="zh-CN"/>
              </w:rPr>
              <w:t>市排名第二</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287"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指标2：</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588"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980"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r>
        <w:tblPrEx>
          <w:tblLayout w:type="fixed"/>
          <w:tblCellMar>
            <w:top w:w="0" w:type="dxa"/>
            <w:left w:w="108" w:type="dxa"/>
            <w:bottom w:w="0" w:type="dxa"/>
            <w:right w:w="108" w:type="dxa"/>
          </w:tblCellMar>
        </w:tblPrEx>
        <w:trPr>
          <w:trHeight w:val="300" w:hRule="exact"/>
          <w:jc w:val="center"/>
        </w:trPr>
        <w:tc>
          <w:tcPr>
            <w:tcW w:w="6529"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总分</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89</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p>
        </w:tc>
      </w:tr>
    </w:tbl>
    <w:p>
      <w:pPr>
        <w:widowControl/>
        <w:spacing w:line="240" w:lineRule="exact"/>
        <w:jc w:val="center"/>
        <w:rPr>
          <w:rFonts w:hint="eastAsia" w:ascii="黑体" w:hAnsi="黑体" w:eastAsia="黑体" w:cs="黑体"/>
          <w:sz w:val="32"/>
          <w:szCs w:val="32"/>
          <w:lang w:val="en-US" w:eastAsia="zh-CN"/>
        </w:rPr>
      </w:pPr>
      <w:r>
        <w:rPr>
          <w:rFonts w:hint="eastAsia" w:ascii="宋体" w:hAnsi="宋体" w:eastAsia="宋体" w:cs="宋体"/>
          <w:kern w:val="0"/>
          <w:sz w:val="18"/>
          <w:szCs w:val="18"/>
          <w:lang w:eastAsia="zh-CN"/>
        </w:rPr>
        <w:t>附件</w:t>
      </w:r>
      <w:r>
        <w:rPr>
          <w:rFonts w:hint="eastAsia" w:ascii="宋体" w:hAnsi="宋体" w:eastAsia="宋体" w:cs="宋体"/>
          <w:kern w:val="0"/>
          <w:sz w:val="18"/>
          <w:szCs w:val="18"/>
          <w:lang w:val="en-US" w:eastAsia="zh-CN"/>
        </w:rPr>
        <w:t>5</w:t>
      </w:r>
    </w:p>
    <w:p>
      <w:pPr>
        <w:jc w:val="center"/>
        <w:rPr>
          <w:rFonts w:hint="eastAsia" w:ascii="宋体" w:hAnsi="宋体" w:eastAsia="宋体" w:cs="Arial"/>
          <w:b/>
          <w:bCs/>
          <w:sz w:val="36"/>
          <w:szCs w:val="36"/>
        </w:rPr>
      </w:pPr>
    </w:p>
    <w:p>
      <w:pPr>
        <w:jc w:val="center"/>
        <w:rPr>
          <w:rFonts w:hint="eastAsia" w:ascii="方正小标宋_GBK" w:hAnsi="方正小标宋_GBK" w:eastAsia="方正小标宋_GBK" w:cs="方正小标宋_GBK"/>
          <w:b w:val="0"/>
          <w:bCs w:val="0"/>
          <w:sz w:val="36"/>
          <w:szCs w:val="36"/>
        </w:rPr>
      </w:pPr>
      <w:r>
        <w:rPr>
          <w:rFonts w:hint="eastAsia" w:ascii="仿宋" w:hAnsi="仿宋" w:eastAsia="仿宋" w:cs="仿宋"/>
          <w:b w:val="0"/>
          <w:bCs w:val="0"/>
          <w:sz w:val="36"/>
          <w:szCs w:val="36"/>
        </w:rPr>
        <w:t>2019</w:t>
      </w:r>
      <w:r>
        <w:rPr>
          <w:rFonts w:hint="eastAsia" w:ascii="方正小标宋_GBK" w:hAnsi="方正小标宋_GBK" w:eastAsia="方正小标宋_GBK" w:cs="方正小标宋_GBK"/>
          <w:b w:val="0"/>
          <w:bCs w:val="0"/>
          <w:sz w:val="36"/>
          <w:szCs w:val="36"/>
        </w:rPr>
        <w:t>年度</w:t>
      </w:r>
      <w:r>
        <w:rPr>
          <w:rFonts w:hint="eastAsia" w:ascii="仿宋" w:hAnsi="仿宋" w:eastAsia="仿宋" w:cs="仿宋"/>
          <w:b w:val="0"/>
          <w:bCs w:val="0"/>
          <w:sz w:val="36"/>
          <w:szCs w:val="36"/>
          <w:lang w:eastAsia="zh-CN"/>
        </w:rPr>
        <w:t>长沙市公安局望城分局基层派出所建设</w:t>
      </w:r>
      <w:r>
        <w:rPr>
          <w:rFonts w:hint="eastAsia" w:ascii="仿宋" w:hAnsi="仿宋" w:eastAsia="仿宋" w:cs="仿宋"/>
          <w:b w:val="0"/>
          <w:bCs w:val="0"/>
          <w:sz w:val="36"/>
          <w:szCs w:val="36"/>
        </w:rPr>
        <w:t>专</w:t>
      </w:r>
      <w:r>
        <w:rPr>
          <w:rFonts w:hint="eastAsia" w:ascii="方正小标宋_GBK" w:hAnsi="方正小标宋_GBK" w:eastAsia="方正小标宋_GBK" w:cs="方正小标宋_GBK"/>
          <w:b w:val="0"/>
          <w:bCs w:val="0"/>
          <w:sz w:val="36"/>
          <w:szCs w:val="36"/>
        </w:rPr>
        <w:t>项资金绩效自评报告</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一、基本情况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outlineLvl w:val="0"/>
        <w:rPr>
          <w:rFonts w:hint="eastAsia" w:ascii="仿宋_GB2312"/>
          <w:sz w:val="30"/>
          <w:szCs w:val="30"/>
        </w:rPr>
      </w:pPr>
      <w:r>
        <w:rPr>
          <w:rFonts w:hint="eastAsia" w:ascii="仿宋_GB2312"/>
          <w:sz w:val="30"/>
          <w:szCs w:val="30"/>
        </w:rPr>
        <w:t>（一）项目概况。包括项目背景、主要内容及实施情况、资金投入和使用情况等。</w:t>
      </w:r>
    </w:p>
    <w:p>
      <w:pPr>
        <w:spacing w:line="620" w:lineRule="exact"/>
        <w:ind w:firstLine="600" w:firstLineChars="200"/>
        <w:rPr>
          <w:kern w:val="0"/>
          <w:sz w:val="30"/>
          <w:szCs w:val="30"/>
        </w:rPr>
      </w:pPr>
      <w:r>
        <w:rPr>
          <w:sz w:val="30"/>
          <w:szCs w:val="30"/>
        </w:rPr>
        <w:t>1.</w:t>
      </w:r>
      <w:r>
        <w:rPr>
          <w:rFonts w:hint="eastAsia"/>
          <w:kern w:val="0"/>
          <w:sz w:val="30"/>
          <w:szCs w:val="30"/>
        </w:rPr>
        <w:t>项目单位基本情况。</w:t>
      </w:r>
    </w:p>
    <w:p>
      <w:pPr>
        <w:spacing w:line="600" w:lineRule="exact"/>
        <w:ind w:firstLine="450" w:firstLineChars="150"/>
        <w:rPr>
          <w:rFonts w:hint="eastAsia" w:hAnsi="仿宋_GB2312" w:cs="仿宋_GB2312"/>
          <w:sz w:val="30"/>
          <w:szCs w:val="30"/>
        </w:rPr>
      </w:pPr>
      <w:r>
        <w:rPr>
          <w:rFonts w:hint="eastAsia" w:hAnsi="仿宋_GB2312" w:cs="仿宋_GB2312"/>
          <w:sz w:val="30"/>
          <w:szCs w:val="30"/>
        </w:rPr>
        <w:t>我局为正科级财政全额拨款行政单位，</w:t>
      </w:r>
      <w:r>
        <w:rPr>
          <w:rFonts w:hint="eastAsia" w:hAnsi="仿宋_GB2312" w:cs="仿宋_GB2312"/>
          <w:sz w:val="30"/>
          <w:szCs w:val="30"/>
          <w:lang w:val="en-US" w:eastAsia="zh-CN"/>
        </w:rPr>
        <w:t>2019</w:t>
      </w:r>
      <w:r>
        <w:rPr>
          <w:rFonts w:hint="eastAsia" w:hAnsi="仿宋_GB2312" w:cs="仿宋_GB2312"/>
          <w:sz w:val="30"/>
          <w:szCs w:val="30"/>
        </w:rPr>
        <w:t>年</w:t>
      </w:r>
      <w:r>
        <w:rPr>
          <w:rFonts w:hint="eastAsia" w:hAnsi="仿宋_GB2312" w:cs="仿宋_GB2312"/>
          <w:sz w:val="30"/>
          <w:szCs w:val="30"/>
          <w:lang w:val="en-US" w:eastAsia="zh-CN"/>
        </w:rPr>
        <w:t>12月</w:t>
      </w:r>
      <w:r>
        <w:rPr>
          <w:rFonts w:hint="eastAsia" w:hAnsi="仿宋_GB2312" w:cs="仿宋_GB2312"/>
          <w:sz w:val="30"/>
          <w:szCs w:val="30"/>
        </w:rPr>
        <w:t>人员在职编制数</w:t>
      </w:r>
      <w:r>
        <w:rPr>
          <w:rFonts w:hint="eastAsia" w:hAnsi="仿宋_GB2312" w:cs="仿宋_GB2312"/>
          <w:sz w:val="30"/>
          <w:szCs w:val="30"/>
          <w:lang w:val="en-US" w:eastAsia="zh-CN"/>
        </w:rPr>
        <w:t>348</w:t>
      </w:r>
      <w:r>
        <w:rPr>
          <w:rFonts w:hint="eastAsia" w:hAnsi="仿宋_GB2312" w:cs="仿宋_GB2312"/>
          <w:sz w:val="30"/>
          <w:szCs w:val="30"/>
        </w:rPr>
        <w:t>人，实际在职人员</w:t>
      </w:r>
      <w:r>
        <w:rPr>
          <w:rFonts w:hint="eastAsia" w:hAnsi="仿宋_GB2312" w:cs="仿宋_GB2312"/>
          <w:sz w:val="30"/>
          <w:szCs w:val="30"/>
          <w:lang w:val="en-US" w:eastAsia="zh-CN"/>
        </w:rPr>
        <w:t>1248人，其中</w:t>
      </w:r>
      <w:r>
        <w:rPr>
          <w:rFonts w:hint="eastAsia" w:hAnsi="仿宋_GB2312" w:cs="仿宋_GB2312"/>
          <w:sz w:val="30"/>
          <w:szCs w:val="30"/>
          <w:lang w:eastAsia="zh-CN"/>
        </w:rPr>
        <w:t>民警</w:t>
      </w:r>
      <w:r>
        <w:rPr>
          <w:rFonts w:hint="eastAsia" w:hAnsi="仿宋_GB2312" w:cs="仿宋_GB2312"/>
          <w:sz w:val="30"/>
          <w:szCs w:val="30"/>
          <w:lang w:val="en-US" w:eastAsia="zh-CN"/>
        </w:rPr>
        <w:t>420人，干部职工23人，退役安置士官28人，政府雇员3</w:t>
      </w:r>
      <w:r>
        <w:rPr>
          <w:rFonts w:hint="eastAsia" w:hAnsi="仿宋_GB2312" w:cs="仿宋_GB2312"/>
          <w:sz w:val="30"/>
          <w:szCs w:val="30"/>
        </w:rPr>
        <w:t>人</w:t>
      </w:r>
      <w:r>
        <w:rPr>
          <w:rFonts w:hint="eastAsia" w:hAnsi="仿宋_GB2312" w:cs="仿宋_GB2312"/>
          <w:sz w:val="30"/>
          <w:szCs w:val="30"/>
          <w:lang w:eastAsia="zh-CN"/>
        </w:rPr>
        <w:t>，辅警</w:t>
      </w:r>
      <w:r>
        <w:rPr>
          <w:rFonts w:hint="eastAsia" w:hAnsi="仿宋_GB2312" w:cs="仿宋_GB2312"/>
          <w:sz w:val="30"/>
          <w:szCs w:val="30"/>
          <w:lang w:val="en-US" w:eastAsia="zh-CN"/>
        </w:rPr>
        <w:t>774人。</w:t>
      </w:r>
      <w:r>
        <w:rPr>
          <w:rFonts w:hint="eastAsia" w:hAnsi="仿宋_GB2312" w:cs="仿宋_GB2312"/>
          <w:sz w:val="30"/>
          <w:szCs w:val="30"/>
        </w:rPr>
        <w:t>全局</w:t>
      </w:r>
      <w:r>
        <w:rPr>
          <w:rFonts w:hint="eastAsia" w:hAnsi="仿宋_GB2312" w:cs="仿宋_GB2312"/>
          <w:sz w:val="30"/>
          <w:szCs w:val="30"/>
          <w:lang w:eastAsia="zh-CN"/>
        </w:rPr>
        <w:t>共</w:t>
      </w:r>
      <w:r>
        <w:rPr>
          <w:rFonts w:hint="eastAsia" w:hAnsi="仿宋_GB2312" w:cs="仿宋_GB2312"/>
          <w:sz w:val="30"/>
          <w:szCs w:val="30"/>
        </w:rPr>
        <w:t>35</w:t>
      </w:r>
      <w:r>
        <w:rPr>
          <w:rFonts w:hint="eastAsia" w:hAnsi="仿宋_GB2312" w:cs="仿宋_GB2312"/>
          <w:sz w:val="30"/>
          <w:szCs w:val="30"/>
        </w:rPr>
        <w:t>个科室所队，其中5</w:t>
      </w:r>
      <w:r>
        <w:rPr>
          <w:rFonts w:hint="eastAsia" w:hAnsi="仿宋_GB2312" w:cs="仿宋_GB2312"/>
          <w:sz w:val="30"/>
          <w:szCs w:val="30"/>
        </w:rPr>
        <w:t>个科室（办公室、政工室、警保室、督察及纪检组、警卫科），12</w:t>
      </w:r>
      <w:r>
        <w:rPr>
          <w:rFonts w:hint="eastAsia" w:hAnsi="仿宋_GB2312" w:cs="仿宋_GB2312"/>
          <w:sz w:val="30"/>
          <w:szCs w:val="30"/>
        </w:rPr>
        <w:t>个大队（法制、巡特警、刑侦、治安、经侦、国保、禁毒、交警、内保、网络安全保卫、人口与出入境、食药环），16</w:t>
      </w:r>
      <w:r>
        <w:rPr>
          <w:rFonts w:hint="eastAsia" w:hAnsi="仿宋_GB2312" w:cs="仿宋_GB2312"/>
          <w:sz w:val="30"/>
          <w:szCs w:val="30"/>
        </w:rPr>
        <w:t>个行政派出所（高塘、乌山、黄金、白箬、星城、桥驿、丁字、铜官、茶亭、月亮岛、格塘、靖港、乔口、新康、同兴、水上），1</w:t>
      </w:r>
      <w:r>
        <w:rPr>
          <w:rFonts w:hint="eastAsia" w:hAnsi="仿宋_GB2312" w:cs="仿宋_GB2312"/>
          <w:sz w:val="30"/>
          <w:szCs w:val="30"/>
        </w:rPr>
        <w:t>个看守所，1</w:t>
      </w:r>
      <w:r>
        <w:rPr>
          <w:rFonts w:hint="eastAsia" w:hAnsi="仿宋_GB2312" w:cs="仿宋_GB2312"/>
          <w:sz w:val="30"/>
          <w:szCs w:val="30"/>
        </w:rPr>
        <w:t>个治安拘留所。其中掌握影响稳定、危害国内安全和社会治安的情报信息，分析形势，为区委、区政府和上级公安机关决策及时提供信息和依据。组织侦破刑事案件、经济案件、毒品案件，依法打击各类犯罪分子，承担区禁毒工作领导小组办公室的日常工作。对法律、法规规定的场所、特种行业、枪支弹药、危爆物品进行治安管理，依法查处各类治安案件。管理区级公安机关110报警指挥系统，处理110报警、群众求助和监督电话，对紧急治安事件和重大紧急情况，实施统一指挥调度。</w:t>
      </w:r>
    </w:p>
    <w:p>
      <w:pPr>
        <w:spacing w:line="600" w:lineRule="exact"/>
        <w:ind w:firstLine="450" w:firstLineChars="150"/>
        <w:rPr>
          <w:rFonts w:hint="eastAsia" w:hAnsi="仿宋_GB2312" w:cs="仿宋_GB2312"/>
          <w:sz w:val="30"/>
          <w:szCs w:val="30"/>
          <w:lang w:val="en-US" w:eastAsia="zh-CN"/>
        </w:rPr>
      </w:pPr>
      <w:r>
        <w:rPr>
          <w:rFonts w:hint="eastAsia" w:hAnsi="仿宋_GB2312" w:cs="仿宋_GB2312"/>
          <w:sz w:val="30"/>
          <w:szCs w:val="30"/>
          <w:lang w:val="en-US" w:eastAsia="zh-CN"/>
        </w:rPr>
        <w:t>2.主要内容及实施情况： 根据望常办纪要[2016]12号，区长办公会议纪要[2016]3号，望府阅[2016]48号明确，新建派出所由区重建中心建设，由区财政总工室支付工程款，建设完成验收合格后再移交公安分局派出所使用，相关付款和建设情况由区重建中心和区财政总工室共同把关。2019年除白沙洲派出所</w:t>
      </w:r>
      <w:r>
        <w:rPr>
          <w:rFonts w:hint="eastAsia" w:hAnsi="仿宋_GB2312" w:cs="仿宋_GB2312"/>
          <w:sz w:val="30"/>
          <w:szCs w:val="30"/>
          <w:lang w:eastAsia="zh-CN"/>
        </w:rPr>
        <w:t>目前因用地拆迁等问题尚未开始建设外，月亮岛，铜官，桥驿，黄金园</w:t>
      </w:r>
      <w:r>
        <w:rPr>
          <w:rFonts w:hint="eastAsia" w:hAnsi="仿宋_GB2312" w:cs="仿宋_GB2312"/>
          <w:sz w:val="30"/>
          <w:szCs w:val="30"/>
          <w:lang w:val="en-US" w:eastAsia="zh-CN"/>
        </w:rPr>
        <w:t>4个派出所均已建设完成，验收合格，均已顺利搬迁，。</w:t>
      </w:r>
    </w:p>
    <w:p>
      <w:pPr>
        <w:spacing w:line="600" w:lineRule="exact"/>
        <w:ind w:firstLine="450" w:firstLineChars="150"/>
        <w:rPr>
          <w:rFonts w:hint="eastAsia" w:hAnsi="仿宋_GB2312" w:cs="仿宋_GB2312"/>
          <w:sz w:val="30"/>
          <w:szCs w:val="30"/>
        </w:rPr>
      </w:pPr>
      <w:r>
        <w:rPr>
          <w:rFonts w:hint="eastAsia" w:hAnsi="仿宋_GB2312" w:cs="仿宋_GB2312"/>
          <w:sz w:val="30"/>
          <w:szCs w:val="30"/>
          <w:lang w:val="en-US" w:eastAsia="zh-CN"/>
        </w:rPr>
        <w:t>3.</w:t>
      </w:r>
      <w:r>
        <w:rPr>
          <w:rFonts w:hint="eastAsia" w:hAnsi="仿宋_GB2312" w:cs="仿宋_GB2312"/>
          <w:sz w:val="30"/>
          <w:szCs w:val="30"/>
        </w:rPr>
        <w:t>资金投入和使用情况</w:t>
      </w:r>
      <w:r>
        <w:rPr>
          <w:rFonts w:hint="eastAsia" w:hAnsi="仿宋_GB2312" w:cs="仿宋_GB2312"/>
          <w:sz w:val="30"/>
          <w:szCs w:val="30"/>
          <w:lang w:eastAsia="zh-CN"/>
        </w:rPr>
        <w:t>：</w:t>
      </w:r>
      <w:r>
        <w:rPr>
          <w:rFonts w:hint="eastAsia" w:hAnsi="仿宋_GB2312" w:cs="仿宋_GB2312"/>
          <w:sz w:val="30"/>
          <w:szCs w:val="30"/>
        </w:rPr>
        <w:t>1.月亮岛派出所</w:t>
      </w:r>
      <w:r>
        <w:rPr>
          <w:rFonts w:hint="eastAsia" w:hAnsi="仿宋_GB2312" w:cs="仿宋_GB2312"/>
          <w:sz w:val="30"/>
          <w:szCs w:val="30"/>
          <w:lang w:val="en-US" w:eastAsia="zh-CN"/>
        </w:rPr>
        <w:t>86万元：</w:t>
      </w:r>
      <w:r>
        <w:rPr>
          <w:rFonts w:hint="eastAsia" w:hAnsi="仿宋_GB2312" w:cs="仿宋_GB2312"/>
          <w:sz w:val="30"/>
          <w:szCs w:val="30"/>
        </w:rPr>
        <w:t>2017年启动，</w:t>
      </w:r>
      <w:r>
        <w:rPr>
          <w:rFonts w:hint="eastAsia" w:hAnsi="仿宋_GB2312" w:cs="仿宋_GB2312"/>
          <w:sz w:val="30"/>
          <w:szCs w:val="30"/>
          <w:lang w:val="en-US" w:eastAsia="zh-CN"/>
        </w:rPr>
        <w:t>2018年已建成验收合格,2019年已完成搬迁。</w:t>
      </w:r>
      <w:r>
        <w:rPr>
          <w:rFonts w:hint="eastAsia" w:hAnsi="仿宋_GB2312" w:cs="仿宋_GB2312"/>
          <w:sz w:val="30"/>
          <w:szCs w:val="30"/>
        </w:rPr>
        <w:t>合同金额1643.33万</w:t>
      </w:r>
      <w:r>
        <w:rPr>
          <w:rFonts w:hint="eastAsia" w:hAnsi="仿宋_GB2312" w:cs="仿宋_GB2312"/>
          <w:sz w:val="30"/>
          <w:szCs w:val="30"/>
          <w:lang w:eastAsia="zh-CN"/>
        </w:rPr>
        <w:t>，</w:t>
      </w:r>
      <w:r>
        <w:rPr>
          <w:rFonts w:hint="eastAsia" w:hAnsi="仿宋_GB2312" w:cs="仿宋_GB2312"/>
          <w:sz w:val="30"/>
          <w:szCs w:val="30"/>
          <w:lang w:val="en-US" w:eastAsia="zh-CN"/>
        </w:rPr>
        <w:t>2019年实际支付86万。</w:t>
      </w:r>
      <w:r>
        <w:rPr>
          <w:rFonts w:hint="eastAsia" w:hAnsi="仿宋_GB2312" w:cs="仿宋_GB2312"/>
          <w:sz w:val="30"/>
          <w:szCs w:val="30"/>
        </w:rPr>
        <w:t>2.铜官派出所及交警二中队</w:t>
      </w:r>
      <w:r>
        <w:rPr>
          <w:rFonts w:hint="eastAsia" w:hAnsi="仿宋_GB2312" w:cs="仿宋_GB2312"/>
          <w:sz w:val="30"/>
          <w:szCs w:val="30"/>
          <w:lang w:val="en-US" w:eastAsia="zh-CN"/>
        </w:rPr>
        <w:t>572.6万元</w:t>
      </w:r>
      <w:r>
        <w:rPr>
          <w:rFonts w:hint="eastAsia" w:hAnsi="仿宋_GB2312" w:cs="仿宋_GB2312"/>
          <w:sz w:val="30"/>
          <w:szCs w:val="30"/>
        </w:rPr>
        <w:t>（2017年启动，合同金额2068.40万元，</w:t>
      </w:r>
      <w:r>
        <w:rPr>
          <w:rFonts w:hint="eastAsia" w:hAnsi="仿宋_GB2312" w:cs="仿宋_GB2312"/>
          <w:sz w:val="30"/>
          <w:szCs w:val="30"/>
          <w:lang w:val="en-US" w:eastAsia="zh-CN"/>
        </w:rPr>
        <w:t>2018年已建成验收合格完成搬迁）</w:t>
      </w:r>
      <w:r>
        <w:rPr>
          <w:rFonts w:hint="eastAsia" w:hAnsi="仿宋_GB2312" w:cs="仿宋_GB2312"/>
          <w:sz w:val="30"/>
          <w:szCs w:val="30"/>
        </w:rPr>
        <w:t>3.桥驿派出所</w:t>
      </w:r>
      <w:r>
        <w:rPr>
          <w:rFonts w:hint="eastAsia" w:hAnsi="仿宋_GB2312" w:cs="仿宋_GB2312"/>
          <w:sz w:val="30"/>
          <w:szCs w:val="30"/>
          <w:lang w:val="en-US" w:eastAsia="zh-CN"/>
        </w:rPr>
        <w:t>625</w:t>
      </w:r>
      <w:r>
        <w:rPr>
          <w:rFonts w:hint="eastAsia" w:hAnsi="仿宋_GB2312" w:cs="仿宋_GB2312"/>
          <w:sz w:val="30"/>
          <w:szCs w:val="30"/>
        </w:rPr>
        <w:t>万元（2017年启动，合同金额1307.46万元</w:t>
      </w:r>
      <w:r>
        <w:rPr>
          <w:rFonts w:hint="eastAsia" w:hAnsi="仿宋_GB2312" w:cs="仿宋_GB2312"/>
          <w:sz w:val="30"/>
          <w:szCs w:val="30"/>
          <w:lang w:eastAsia="zh-CN"/>
        </w:rPr>
        <w:t>，</w:t>
      </w:r>
      <w:r>
        <w:rPr>
          <w:rFonts w:hint="eastAsia" w:hAnsi="仿宋_GB2312" w:cs="仿宋_GB2312"/>
          <w:sz w:val="30"/>
          <w:szCs w:val="30"/>
          <w:lang w:val="en-US" w:eastAsia="zh-CN"/>
        </w:rPr>
        <w:t>2018年已建成验收合格完成搬迁</w:t>
      </w:r>
      <w:r>
        <w:rPr>
          <w:rFonts w:hint="eastAsia" w:hAnsi="仿宋_GB2312" w:cs="仿宋_GB2312"/>
          <w:sz w:val="30"/>
          <w:szCs w:val="30"/>
        </w:rPr>
        <w:t>）4.黄金园派出所</w:t>
      </w:r>
      <w:r>
        <w:rPr>
          <w:rFonts w:hint="eastAsia" w:hAnsi="仿宋_GB2312" w:cs="仿宋_GB2312"/>
          <w:sz w:val="30"/>
          <w:szCs w:val="30"/>
          <w:lang w:val="en-US" w:eastAsia="zh-CN"/>
        </w:rPr>
        <w:t>579.6</w:t>
      </w:r>
      <w:r>
        <w:rPr>
          <w:rFonts w:hint="eastAsia" w:hAnsi="仿宋_GB2312" w:cs="仿宋_GB2312"/>
          <w:sz w:val="30"/>
          <w:szCs w:val="30"/>
        </w:rPr>
        <w:t>万元（2018年启动，合同金额1270万元，</w:t>
      </w:r>
      <w:r>
        <w:rPr>
          <w:rFonts w:hint="eastAsia" w:hAnsi="仿宋_GB2312" w:cs="仿宋_GB2312"/>
          <w:sz w:val="30"/>
          <w:szCs w:val="30"/>
          <w:lang w:val="en-US" w:eastAsia="zh-CN"/>
        </w:rPr>
        <w:t>2019年已建成验收合格完成搬迁</w:t>
      </w:r>
      <w:r>
        <w:rPr>
          <w:rFonts w:hint="eastAsia" w:hAnsi="仿宋_GB2312" w:cs="仿宋_GB2312"/>
          <w:sz w:val="30"/>
          <w:szCs w:val="30"/>
        </w:rPr>
        <w:t>）。5.白沙洲派出所</w:t>
      </w:r>
      <w:r>
        <w:rPr>
          <w:rFonts w:hint="eastAsia" w:hAnsi="仿宋_GB2312" w:cs="仿宋_GB2312"/>
          <w:sz w:val="30"/>
          <w:szCs w:val="30"/>
          <w:lang w:val="en-US" w:eastAsia="zh-CN"/>
        </w:rPr>
        <w:t>1.18</w:t>
      </w:r>
      <w:r>
        <w:rPr>
          <w:rFonts w:hint="eastAsia" w:hAnsi="仿宋_GB2312" w:cs="仿宋_GB2312"/>
          <w:sz w:val="30"/>
          <w:szCs w:val="30"/>
        </w:rPr>
        <w:t>万元。（201</w:t>
      </w:r>
      <w:r>
        <w:rPr>
          <w:rFonts w:hint="eastAsia" w:hAnsi="仿宋_GB2312" w:cs="仿宋_GB2312"/>
          <w:sz w:val="30"/>
          <w:szCs w:val="30"/>
          <w:lang w:val="en-US" w:eastAsia="zh-CN"/>
        </w:rPr>
        <w:t>9</w:t>
      </w:r>
      <w:r>
        <w:rPr>
          <w:rFonts w:hint="eastAsia" w:hAnsi="仿宋_GB2312" w:cs="仿宋_GB2312"/>
          <w:sz w:val="30"/>
          <w:szCs w:val="30"/>
        </w:rPr>
        <w:t>年启动</w:t>
      </w:r>
      <w:r>
        <w:rPr>
          <w:rFonts w:hint="eastAsia" w:hAnsi="仿宋_GB2312" w:cs="仿宋_GB2312"/>
          <w:sz w:val="30"/>
          <w:szCs w:val="30"/>
          <w:lang w:eastAsia="zh-CN"/>
        </w:rPr>
        <w:t>，目前因用地拆迁等问题尚未开始建设</w:t>
      </w:r>
      <w:r>
        <w:rPr>
          <w:rFonts w:hint="eastAsia" w:hAnsi="仿宋_GB2312" w:cs="仿宋_GB2312"/>
          <w:sz w:val="30"/>
          <w:szCs w:val="30"/>
        </w:rPr>
        <w:t>）。</w:t>
      </w:r>
    </w:p>
    <w:p>
      <w:pPr>
        <w:spacing w:line="600" w:lineRule="exact"/>
        <w:ind w:firstLine="450" w:firstLineChars="150"/>
        <w:rPr>
          <w:rFonts w:hint="eastAsia"/>
          <w:sz w:val="30"/>
          <w:szCs w:val="30"/>
        </w:rPr>
      </w:pPr>
      <w:r>
        <w:rPr>
          <w:rFonts w:hint="eastAsia"/>
          <w:sz w:val="30"/>
          <w:szCs w:val="30"/>
          <w:lang w:val="en-US" w:eastAsia="zh-CN"/>
        </w:rPr>
        <w:t>（二）、</w:t>
      </w:r>
      <w:r>
        <w:rPr>
          <w:rFonts w:hint="eastAsia"/>
          <w:sz w:val="30"/>
          <w:szCs w:val="30"/>
        </w:rPr>
        <w:t>项目绩效目标。项目总体目</w:t>
      </w:r>
      <w:r>
        <w:rPr>
          <w:rFonts w:hint="eastAsia" w:cs="Times New Roman"/>
          <w:sz w:val="30"/>
          <w:szCs w:val="30"/>
        </w:rPr>
        <w:t>标：</w:t>
      </w:r>
      <w:r>
        <w:rPr>
          <w:rFonts w:hint="eastAsia"/>
          <w:sz w:val="30"/>
          <w:szCs w:val="30"/>
        </w:rPr>
        <w:t>民生配套工程，健全社会防控体系，按公安部要求配套“一街一所，提升公安打防管控能力，提升信息化水平，维护</w:t>
      </w:r>
      <w:r>
        <w:rPr>
          <w:rFonts w:hint="eastAsia"/>
          <w:sz w:val="30"/>
          <w:szCs w:val="30"/>
        </w:rPr>
        <w:t>社会安全稳定，服务公安实战。</w:t>
      </w:r>
      <w:r>
        <w:rPr>
          <w:rFonts w:hint="eastAsia"/>
          <w:sz w:val="30"/>
          <w:szCs w:val="30"/>
          <w:lang w:eastAsia="zh-CN"/>
        </w:rPr>
        <w:t>年度</w:t>
      </w:r>
      <w:r>
        <w:rPr>
          <w:rFonts w:hint="eastAsia"/>
          <w:sz w:val="30"/>
          <w:szCs w:val="30"/>
        </w:rPr>
        <w:t>绩效目标</w:t>
      </w:r>
      <w:r>
        <w:rPr>
          <w:rFonts w:hint="eastAsia"/>
          <w:sz w:val="30"/>
          <w:szCs w:val="30"/>
          <w:lang w:eastAsia="zh-CN"/>
        </w:rPr>
        <w:t>：</w:t>
      </w:r>
      <w:r>
        <w:rPr>
          <w:rFonts w:hint="eastAsia"/>
          <w:sz w:val="30"/>
          <w:szCs w:val="30"/>
        </w:rPr>
        <w:t>年内支付完月亮岛派出所基建工程款，完成铜官、桥驿派出所搬迁，黄金园和白沙洲主体建设完成。</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二、绩效评价工作开展情况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sz w:val="30"/>
          <w:szCs w:val="30"/>
        </w:rPr>
      </w:pPr>
      <w:r>
        <w:rPr>
          <w:rFonts w:hint="eastAsia" w:ascii="仿宋_GB2312"/>
          <w:sz w:val="30"/>
          <w:szCs w:val="30"/>
        </w:rPr>
        <w:t>（一）绩效评价目的、对象和范围。</w:t>
      </w:r>
    </w:p>
    <w:p>
      <w:pPr>
        <w:spacing w:line="600" w:lineRule="exact"/>
        <w:ind w:firstLine="450" w:firstLineChars="150"/>
        <w:rPr>
          <w:rFonts w:hint="eastAsia"/>
          <w:sz w:val="30"/>
          <w:szCs w:val="30"/>
          <w:lang w:eastAsia="zh-CN"/>
        </w:rPr>
      </w:pPr>
      <w:r>
        <w:rPr>
          <w:rFonts w:hint="eastAsia"/>
          <w:sz w:val="30"/>
          <w:szCs w:val="30"/>
          <w:lang w:eastAsia="zh-CN"/>
        </w:rPr>
        <w:t>绩效评价目的：</w:t>
      </w:r>
      <w:r>
        <w:rPr>
          <w:rFonts w:hint="default"/>
          <w:sz w:val="30"/>
          <w:szCs w:val="30"/>
        </w:rPr>
        <w:t>为</w:t>
      </w:r>
      <w:r>
        <w:rPr>
          <w:rFonts w:hint="default"/>
          <w:sz w:val="30"/>
          <w:szCs w:val="30"/>
          <w:lang w:eastAsia="zh-CN"/>
        </w:rPr>
        <w:t>贯彻落实</w:t>
      </w:r>
      <w:r>
        <w:rPr>
          <w:rFonts w:hint="default"/>
          <w:sz w:val="30"/>
          <w:szCs w:val="30"/>
        </w:rPr>
        <w:t>《中共中央</w:t>
      </w:r>
      <w:r>
        <w:rPr>
          <w:rFonts w:hint="default"/>
          <w:sz w:val="30"/>
          <w:szCs w:val="30"/>
          <w:lang w:val="en-US" w:eastAsia="zh-CN"/>
        </w:rPr>
        <w:t xml:space="preserve"> </w:t>
      </w:r>
      <w:r>
        <w:rPr>
          <w:rFonts w:hint="default"/>
          <w:sz w:val="30"/>
          <w:szCs w:val="30"/>
        </w:rPr>
        <w:t>国务院关于全面实施预算绩效管理</w:t>
      </w:r>
      <w:r>
        <w:rPr>
          <w:rFonts w:hint="eastAsia"/>
          <w:sz w:val="30"/>
          <w:szCs w:val="30"/>
          <w:lang w:eastAsia="zh-CN"/>
        </w:rPr>
        <w:t>的</w:t>
      </w:r>
      <w:r>
        <w:rPr>
          <w:rFonts w:hint="default"/>
          <w:sz w:val="30"/>
          <w:szCs w:val="30"/>
        </w:rPr>
        <w:t>意见》（中发〔</w:t>
      </w:r>
      <w:r>
        <w:rPr>
          <w:rFonts w:hint="eastAsia"/>
          <w:sz w:val="30"/>
          <w:szCs w:val="30"/>
        </w:rPr>
        <w:t>2018</w:t>
      </w:r>
      <w:r>
        <w:rPr>
          <w:rFonts w:hint="default"/>
          <w:sz w:val="30"/>
          <w:szCs w:val="30"/>
        </w:rPr>
        <w:t>〕</w:t>
      </w:r>
      <w:r>
        <w:rPr>
          <w:rFonts w:hint="eastAsia"/>
          <w:sz w:val="30"/>
          <w:szCs w:val="30"/>
        </w:rPr>
        <w:t>34</w:t>
      </w:r>
      <w:r>
        <w:rPr>
          <w:rFonts w:hint="default"/>
          <w:sz w:val="30"/>
          <w:szCs w:val="30"/>
        </w:rPr>
        <w:t>号）和《中共湖南省委办公厅 湖南省人民政府办公厅全面实施预算绩效管理的实施意见》（湘办发〔</w:t>
      </w:r>
      <w:r>
        <w:rPr>
          <w:rFonts w:hint="eastAsia"/>
          <w:sz w:val="30"/>
          <w:szCs w:val="30"/>
        </w:rPr>
        <w:t>2019</w:t>
      </w:r>
      <w:r>
        <w:rPr>
          <w:rFonts w:hint="default"/>
          <w:sz w:val="30"/>
          <w:szCs w:val="30"/>
        </w:rPr>
        <w:t>〕</w:t>
      </w:r>
      <w:r>
        <w:rPr>
          <w:rFonts w:hint="eastAsia"/>
          <w:sz w:val="30"/>
          <w:szCs w:val="30"/>
        </w:rPr>
        <w:t>10</w:t>
      </w:r>
      <w:r>
        <w:rPr>
          <w:rFonts w:hint="default"/>
          <w:sz w:val="30"/>
          <w:szCs w:val="30"/>
        </w:rPr>
        <w:t>号）</w:t>
      </w:r>
      <w:r>
        <w:rPr>
          <w:rFonts w:hint="default"/>
          <w:sz w:val="30"/>
          <w:szCs w:val="30"/>
          <w:lang w:eastAsia="zh-CN"/>
        </w:rPr>
        <w:t>文件要求，</w:t>
      </w:r>
      <w:r>
        <w:rPr>
          <w:rFonts w:hint="default"/>
          <w:sz w:val="30"/>
          <w:szCs w:val="30"/>
        </w:rPr>
        <w:t>进一步规范财政资金管理，强化部门责任意识，切实提高财政资金使用效益</w:t>
      </w:r>
      <w:r>
        <w:rPr>
          <w:rFonts w:hint="eastAsia"/>
          <w:sz w:val="30"/>
          <w:szCs w:val="30"/>
          <w:lang w:eastAsia="zh-CN"/>
        </w:rPr>
        <w:t>。</w:t>
      </w:r>
    </w:p>
    <w:p>
      <w:pPr>
        <w:spacing w:line="600" w:lineRule="exact"/>
        <w:ind w:firstLine="450" w:firstLineChars="150"/>
        <w:rPr>
          <w:rFonts w:hint="eastAsia"/>
          <w:sz w:val="30"/>
          <w:szCs w:val="30"/>
          <w:lang w:val="en-US" w:eastAsia="zh-CN"/>
        </w:rPr>
      </w:pPr>
      <w:r>
        <w:rPr>
          <w:rFonts w:hint="eastAsia"/>
          <w:sz w:val="30"/>
          <w:szCs w:val="30"/>
          <w:lang w:eastAsia="zh-CN"/>
        </w:rPr>
        <w:t>绩效评价对象和范围：</w:t>
      </w:r>
      <w:r>
        <w:rPr>
          <w:rFonts w:hint="eastAsia"/>
          <w:sz w:val="30"/>
          <w:szCs w:val="30"/>
          <w:lang w:val="en-US" w:eastAsia="zh-CN"/>
        </w:rPr>
        <w:t>2019年分局</w:t>
      </w:r>
      <w:r>
        <w:rPr>
          <w:rFonts w:hint="eastAsia"/>
          <w:sz w:val="30"/>
          <w:szCs w:val="30"/>
        </w:rPr>
        <w:t>月亮岛派出所基建工程款，铜官、桥驿派出所</w:t>
      </w:r>
      <w:r>
        <w:rPr>
          <w:rFonts w:hint="eastAsia"/>
          <w:sz w:val="30"/>
          <w:szCs w:val="30"/>
          <w:lang w:eastAsia="zh-CN"/>
        </w:rPr>
        <w:t>新建及</w:t>
      </w:r>
      <w:r>
        <w:rPr>
          <w:rFonts w:hint="eastAsia"/>
          <w:sz w:val="30"/>
          <w:szCs w:val="30"/>
        </w:rPr>
        <w:t>搬迁，黄金园和白沙洲</w:t>
      </w:r>
      <w:r>
        <w:rPr>
          <w:rFonts w:hint="eastAsia"/>
          <w:sz w:val="30"/>
          <w:szCs w:val="30"/>
          <w:lang w:eastAsia="zh-CN"/>
        </w:rPr>
        <w:t>主体</w:t>
      </w:r>
      <w:r>
        <w:rPr>
          <w:rFonts w:hint="eastAsia"/>
          <w:sz w:val="30"/>
          <w:szCs w:val="30"/>
          <w:lang w:val="en-US" w:eastAsia="zh-CN"/>
        </w:rPr>
        <w:t>建设完成和资金使用情况。</w:t>
      </w:r>
    </w:p>
    <w:p>
      <w:pPr>
        <w:spacing w:line="600" w:lineRule="exact"/>
        <w:ind w:firstLine="450" w:firstLineChars="150"/>
        <w:rPr>
          <w:rFonts w:hint="eastAsia"/>
          <w:sz w:val="30"/>
          <w:szCs w:val="30"/>
          <w:lang w:eastAsia="zh-CN"/>
        </w:rPr>
      </w:pPr>
      <w:r>
        <w:rPr>
          <w:rFonts w:hint="eastAsia"/>
          <w:sz w:val="30"/>
          <w:szCs w:val="30"/>
        </w:rPr>
        <w:t>（二）绩效评价原则、评价指标体系（附表说明）、评价方法、评价标准等。</w:t>
      </w:r>
      <w:r>
        <w:rPr>
          <w:rFonts w:hint="eastAsia"/>
          <w:sz w:val="30"/>
          <w:szCs w:val="30"/>
          <w:lang w:eastAsia="zh-CN"/>
        </w:rPr>
        <w:t>绩效评价原则：运用科学合理的方法，按照规范的程序，对项目绩效进行客观、公正的反映。由项目单位自主实施，即“谁支出、谁自评”。</w:t>
      </w:r>
    </w:p>
    <w:p>
      <w:pPr>
        <w:spacing w:line="600" w:lineRule="exact"/>
        <w:ind w:firstLine="450" w:firstLineChars="150"/>
        <w:rPr>
          <w:rFonts w:hint="eastAsia"/>
          <w:sz w:val="30"/>
          <w:szCs w:val="30"/>
          <w:lang w:val="en-US" w:eastAsia="zh-CN"/>
        </w:rPr>
      </w:pPr>
      <w:r>
        <w:rPr>
          <w:rFonts w:hint="eastAsia"/>
          <w:sz w:val="30"/>
          <w:szCs w:val="30"/>
          <w:lang w:eastAsia="zh-CN"/>
        </w:rPr>
        <w:t>评价指标体系：资金执行率</w:t>
      </w:r>
      <w:r>
        <w:rPr>
          <w:rFonts w:hint="eastAsia"/>
          <w:sz w:val="30"/>
          <w:szCs w:val="30"/>
          <w:lang w:val="en-US" w:eastAsia="zh-CN"/>
        </w:rPr>
        <w:t xml:space="preserve">  10分；产出  50分；效益  30分；服务对象  10分。</w:t>
      </w:r>
    </w:p>
    <w:p>
      <w:pPr>
        <w:spacing w:line="600" w:lineRule="exact"/>
        <w:ind w:firstLine="450" w:firstLineChars="150"/>
        <w:rPr>
          <w:rFonts w:hint="eastAsia"/>
          <w:sz w:val="30"/>
          <w:szCs w:val="30"/>
          <w:lang w:val="en-US" w:eastAsia="zh-CN"/>
        </w:rPr>
      </w:pPr>
      <w:r>
        <w:rPr>
          <w:rFonts w:hint="eastAsia"/>
          <w:sz w:val="30"/>
          <w:szCs w:val="30"/>
          <w:lang w:val="en-US" w:eastAsia="zh-CN"/>
        </w:rPr>
        <w:t>评价方法：采用定量与定性评价相结合，主要采取成本效益分析法和公众评判法来进行项目的预算绩效评价。</w:t>
      </w:r>
    </w:p>
    <w:p>
      <w:pPr>
        <w:spacing w:line="600" w:lineRule="exact"/>
        <w:ind w:firstLine="450" w:firstLineChars="150"/>
        <w:rPr>
          <w:rFonts w:hint="eastAsia"/>
          <w:sz w:val="30"/>
          <w:szCs w:val="30"/>
          <w:lang w:val="en-US" w:eastAsia="zh-CN"/>
        </w:rPr>
      </w:pPr>
      <w:r>
        <w:rPr>
          <w:rFonts w:hint="eastAsia"/>
          <w:sz w:val="30"/>
          <w:szCs w:val="30"/>
        </w:rPr>
        <w:t>评价标准</w:t>
      </w:r>
      <w:r>
        <w:rPr>
          <w:rFonts w:hint="eastAsia"/>
          <w:sz w:val="30"/>
          <w:szCs w:val="30"/>
          <w:lang w:eastAsia="zh-CN"/>
        </w:rPr>
        <w:t>：以</w:t>
      </w:r>
      <w:r>
        <w:rPr>
          <w:rFonts w:hint="eastAsia"/>
          <w:sz w:val="30"/>
          <w:szCs w:val="30"/>
          <w:lang w:val="en-US" w:eastAsia="zh-CN"/>
        </w:rPr>
        <w:t>2019年预算绩效申报计划制定的目标、计划、预算、定额等作为评价标准。</w:t>
      </w:r>
    </w:p>
    <w:p>
      <w:pPr>
        <w:spacing w:line="600" w:lineRule="exact"/>
        <w:ind w:firstLine="450" w:firstLineChars="150"/>
        <w:rPr>
          <w:rFonts w:hint="eastAsia"/>
          <w:sz w:val="30"/>
          <w:szCs w:val="30"/>
          <w:lang w:eastAsia="zh-CN"/>
        </w:rPr>
      </w:pPr>
      <w:r>
        <w:rPr>
          <w:rFonts w:hint="eastAsia"/>
          <w:sz w:val="30"/>
          <w:szCs w:val="30"/>
        </w:rPr>
        <w:t>（三）绩效评价工作过程。</w:t>
      </w:r>
      <w:r>
        <w:rPr>
          <w:rFonts w:hint="eastAsia"/>
          <w:sz w:val="30"/>
          <w:szCs w:val="30"/>
          <w:lang w:eastAsia="zh-CN"/>
        </w:rPr>
        <w:t>评价小组对本次专项资金绩效评价采取到项目主管部门查看项目申报、评审、公示等资料和抽查项目单位现场相结合的方式进行评价。</w:t>
      </w:r>
    </w:p>
    <w:p>
      <w:pPr>
        <w:spacing w:line="600" w:lineRule="exact"/>
        <w:ind w:firstLine="450" w:firstLineChars="150"/>
        <w:rPr>
          <w:rFonts w:hint="eastAsia"/>
          <w:sz w:val="30"/>
          <w:szCs w:val="30"/>
        </w:rPr>
      </w:pPr>
      <w:r>
        <w:rPr>
          <w:rFonts w:hint="eastAsia"/>
          <w:sz w:val="30"/>
          <w:szCs w:val="30"/>
        </w:rPr>
        <w:t>综合评价情况及评价结论</w:t>
      </w:r>
    </w:p>
    <w:p>
      <w:pPr>
        <w:spacing w:line="600" w:lineRule="exact"/>
        <w:ind w:firstLine="450" w:firstLineChars="150"/>
        <w:rPr>
          <w:rFonts w:hint="eastAsia"/>
          <w:sz w:val="30"/>
          <w:szCs w:val="30"/>
        </w:rPr>
      </w:pPr>
      <w:r>
        <w:rPr>
          <w:rFonts w:hint="eastAsia"/>
          <w:sz w:val="30"/>
          <w:szCs w:val="30"/>
          <w:lang w:val="en-US" w:eastAsia="zh-CN"/>
        </w:rPr>
        <w:t>项目自评分89分，评价结果为良。</w:t>
      </w:r>
    </w:p>
    <w:p>
      <w:pPr>
        <w:spacing w:line="600" w:lineRule="exact"/>
        <w:ind w:firstLine="452" w:firstLineChars="150"/>
        <w:rPr>
          <w:rFonts w:hint="eastAsia"/>
          <w:b/>
          <w:bCs/>
          <w:sz w:val="30"/>
          <w:szCs w:val="30"/>
        </w:rPr>
      </w:pPr>
      <w:r>
        <w:rPr>
          <w:rFonts w:hint="eastAsia"/>
          <w:b/>
          <w:bCs/>
          <w:sz w:val="30"/>
          <w:szCs w:val="30"/>
        </w:rPr>
        <w:t>四、绩效评价指标分析</w:t>
      </w:r>
    </w:p>
    <w:p>
      <w:pPr>
        <w:spacing w:line="600" w:lineRule="exact"/>
        <w:ind w:firstLine="450" w:firstLineChars="150"/>
        <w:rPr>
          <w:rFonts w:hint="eastAsia"/>
          <w:sz w:val="30"/>
          <w:szCs w:val="30"/>
        </w:rPr>
      </w:pPr>
      <w:r>
        <w:rPr>
          <w:rFonts w:hint="eastAsia"/>
          <w:sz w:val="30"/>
          <w:szCs w:val="30"/>
        </w:rPr>
        <w:t>（一）项目决策情况。</w:t>
      </w:r>
      <w:r>
        <w:rPr>
          <w:rFonts w:hint="eastAsia"/>
          <w:sz w:val="30"/>
          <w:szCs w:val="30"/>
          <w:lang w:eastAsia="zh-CN"/>
        </w:rPr>
        <w:t>民生配套工程、健全社会防控体系，按公安部要求配套“一街一所”。按照省公安厅实施的《全省公安机关派出所建设三年行动计划》和长沙市人民政府关于公安基础设施建设会议纪要【长府阅（</w:t>
      </w:r>
      <w:r>
        <w:rPr>
          <w:rFonts w:hint="eastAsia"/>
          <w:sz w:val="30"/>
          <w:szCs w:val="30"/>
          <w:lang w:val="en-US" w:eastAsia="zh-CN"/>
        </w:rPr>
        <w:t>2016）121号】以及市局下发《全市公安机关基层所队提质改造实施方案》，根据我局实际情况，向区委区政府汇报，经区长办公会决议后，对部分派出所进行新建。</w:t>
      </w:r>
      <w:r>
        <w:rPr>
          <w:rFonts w:hint="eastAsia"/>
          <w:sz w:val="30"/>
          <w:szCs w:val="30"/>
        </w:rPr>
        <w:t>该项目主要目的是改善基层派出所的办公条件，健全社会防控体系，提高治安防控、人口管理的水平，为群众提供更多更便利的服务。根据望常办纪要[2016]12号，区长办公会议纪要[2016]3号，望府阅[2016]48号等</w:t>
      </w:r>
    </w:p>
    <w:p>
      <w:pPr>
        <w:spacing w:line="600" w:lineRule="exact"/>
        <w:ind w:firstLine="450" w:firstLineChars="150"/>
        <w:rPr>
          <w:rFonts w:hint="eastAsia"/>
          <w:sz w:val="30"/>
          <w:szCs w:val="30"/>
          <w:lang w:val="en-US" w:eastAsia="zh-CN"/>
        </w:rPr>
      </w:pPr>
      <w:r>
        <w:rPr>
          <w:rFonts w:hint="eastAsia"/>
          <w:sz w:val="30"/>
          <w:szCs w:val="30"/>
        </w:rPr>
        <w:t>（二）项目过程情况。</w:t>
      </w:r>
      <w:r>
        <w:rPr>
          <w:rFonts w:hint="eastAsia"/>
          <w:sz w:val="30"/>
          <w:szCs w:val="30"/>
          <w:lang w:val="en-US" w:eastAsia="zh-CN"/>
        </w:rPr>
        <w:t xml:space="preserve"> </w:t>
      </w:r>
      <w:r>
        <w:rPr>
          <w:rFonts w:hint="eastAsia"/>
          <w:sz w:val="30"/>
          <w:szCs w:val="30"/>
        </w:rPr>
        <w:t>根</w:t>
      </w:r>
      <w:r>
        <w:rPr>
          <w:rFonts w:hint="eastAsia"/>
          <w:sz w:val="30"/>
          <w:szCs w:val="30"/>
          <w:lang w:val="en-US" w:eastAsia="zh-CN"/>
        </w:rPr>
        <w:t>据望常办纪要[2016]12号，区长办公会议纪要[2016]3号，望府阅[2016]48号明确，新建派出所由区重建中心建设，由区财政总工室支付工程款，建设完成验收合格后再移交公安分局派出所使用，相关付款和建设情况由区重建中心和区财政总工室共同把关。</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ascii="仿宋_GB2312"/>
          <w:sz w:val="30"/>
          <w:szCs w:val="30"/>
          <w:lang w:val="en-US"/>
        </w:rPr>
      </w:pPr>
      <w:r>
        <w:rPr>
          <w:rFonts w:hint="eastAsia" w:ascii="仿宋_GB2312"/>
          <w:sz w:val="30"/>
          <w:szCs w:val="30"/>
        </w:rPr>
        <w:t>（三）项目产出情况。</w:t>
      </w:r>
      <w:r>
        <w:rPr>
          <w:rFonts w:hint="eastAsia"/>
          <w:sz w:val="30"/>
          <w:szCs w:val="30"/>
          <w:lang w:val="en-US" w:eastAsia="zh-CN"/>
        </w:rPr>
        <w:t>2019年除白沙洲派出所</w:t>
      </w:r>
      <w:r>
        <w:rPr>
          <w:rFonts w:hint="eastAsia"/>
          <w:sz w:val="30"/>
          <w:szCs w:val="30"/>
          <w:lang w:eastAsia="zh-CN"/>
        </w:rPr>
        <w:t>目前因用地拆迁等问题尚未开始建设外，月亮岛，铜官，桥驿，黄金园</w:t>
      </w:r>
      <w:r>
        <w:rPr>
          <w:rFonts w:hint="eastAsia"/>
          <w:sz w:val="30"/>
          <w:szCs w:val="30"/>
          <w:lang w:val="en-US" w:eastAsia="zh-CN"/>
        </w:rPr>
        <w:t>4个派出所均已建设完成，验收合格，均已顺利搬迁。</w:t>
      </w:r>
    </w:p>
    <w:p>
      <w:pPr>
        <w:ind w:firstLine="600" w:firstLineChars="200"/>
        <w:rPr>
          <w:rFonts w:hint="eastAsia" w:ascii="仿宋_GB2312" w:hAnsi="仿宋_GB2312" w:eastAsia="仿宋_GB2312" w:cs="仿宋_GB2312"/>
          <w:sz w:val="32"/>
          <w:szCs w:val="32"/>
        </w:rPr>
      </w:pPr>
      <w:r>
        <w:rPr>
          <w:rFonts w:hint="eastAsia" w:ascii="仿宋_GB2312"/>
          <w:sz w:val="30"/>
          <w:szCs w:val="30"/>
        </w:rPr>
        <w:t>（四）项目效益情况。</w:t>
      </w:r>
      <w:r>
        <w:rPr>
          <w:rFonts w:hint="eastAsia"/>
          <w:sz w:val="30"/>
          <w:szCs w:val="30"/>
          <w:lang w:eastAsia="zh-CN"/>
        </w:rPr>
        <w:t>月亮岛，铜官，桥驿，黄金园</w:t>
      </w:r>
      <w:r>
        <w:rPr>
          <w:rFonts w:hint="eastAsia"/>
          <w:sz w:val="30"/>
          <w:szCs w:val="30"/>
          <w:lang w:val="en-US" w:eastAsia="zh-CN"/>
        </w:rPr>
        <w:t>4个</w:t>
      </w:r>
      <w:r>
        <w:rPr>
          <w:rFonts w:hint="eastAsia" w:ascii="仿宋_GB2312" w:hAnsi="仿宋_GB2312" w:eastAsia="仿宋_GB2312" w:cs="仿宋_GB2312"/>
          <w:sz w:val="32"/>
          <w:szCs w:val="32"/>
        </w:rPr>
        <w:t>新建的办公楼解决了近几年来派出所办公用房严重不足、设备设施落后、功能不全等问题，满足新形势下基层派出所的各项职责职能，符合</w:t>
      </w:r>
      <w:r>
        <w:rPr>
          <w:rFonts w:hint="eastAsia" w:hAnsi="仿宋_GB2312" w:cs="仿宋_GB2312"/>
          <w:sz w:val="32"/>
          <w:szCs w:val="32"/>
          <w:lang w:eastAsia="zh-CN"/>
        </w:rPr>
        <w:t>乡镇</w:t>
      </w:r>
      <w:r>
        <w:rPr>
          <w:rFonts w:hint="eastAsia" w:ascii="仿宋_GB2312" w:hAnsi="仿宋_GB2312" w:eastAsia="仿宋_GB2312" w:cs="仿宋_GB2312"/>
          <w:sz w:val="32"/>
          <w:szCs w:val="32"/>
        </w:rPr>
        <w:t>发展趋势，同时也为邻近的基层派出所提供了警务支持，对维护社会治安、提高群众满意度有重要意义。为辖区内的社会治安、经济发展提供有力的支持和保障。</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outlineLvl w:val="0"/>
        <w:rPr>
          <w:rFonts w:ascii="仿宋_GB2312"/>
          <w:sz w:val="30"/>
          <w:szCs w:val="30"/>
        </w:rPr>
      </w:pP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sz w:val="30"/>
          <w:szCs w:val="30"/>
        </w:rPr>
      </w:pPr>
      <w:r>
        <w:rPr>
          <w:rFonts w:hint="eastAsia" w:ascii="黑体" w:hAnsi="黑体" w:eastAsia="黑体"/>
          <w:sz w:val="30"/>
          <w:szCs w:val="30"/>
        </w:rPr>
        <w:t>主要经验及做法、存在的问题及原因分析</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eastAsia" w:ascii="黑体" w:hAnsi="黑体" w:eastAsia="仿宋_GB2312"/>
          <w:sz w:val="30"/>
          <w:szCs w:val="30"/>
          <w:lang w:val="en-US" w:eastAsia="zh-CN"/>
        </w:rPr>
      </w:pPr>
      <w:r>
        <w:rPr>
          <w:rFonts w:hint="eastAsia" w:ascii="黑体" w:hAnsi="黑体" w:eastAsia="黑体"/>
          <w:sz w:val="30"/>
          <w:szCs w:val="30"/>
          <w:lang w:val="en-US" w:eastAsia="zh-CN"/>
        </w:rPr>
        <w:t xml:space="preserve"> 无</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sz w:val="30"/>
          <w:szCs w:val="30"/>
        </w:rPr>
      </w:pPr>
      <w:r>
        <w:rPr>
          <w:rFonts w:hint="eastAsia" w:ascii="黑体" w:hAnsi="黑体" w:eastAsia="黑体"/>
          <w:sz w:val="30"/>
          <w:szCs w:val="30"/>
        </w:rPr>
        <w:t>有关建议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eastAsia" w:ascii="黑体" w:hAnsi="黑体" w:eastAsia="黑体"/>
          <w:sz w:val="30"/>
          <w:szCs w:val="30"/>
          <w:lang w:val="en-US" w:eastAsia="zh-CN"/>
        </w:rPr>
      </w:pPr>
      <w:r>
        <w:rPr>
          <w:rFonts w:hint="eastAsia" w:ascii="黑体" w:hAnsi="黑体" w:eastAsia="黑体"/>
          <w:sz w:val="30"/>
          <w:szCs w:val="30"/>
          <w:lang w:val="en-US" w:eastAsia="zh-CN"/>
        </w:rPr>
        <w:t xml:space="preserve">   </w:t>
      </w:r>
      <w:r>
        <w:rPr>
          <w:rFonts w:hint="eastAsia"/>
          <w:sz w:val="30"/>
          <w:szCs w:val="30"/>
          <w:lang w:val="en-US" w:eastAsia="zh-CN"/>
        </w:rPr>
        <w:t>建议此类代征代建专项由</w:t>
      </w:r>
      <w:r>
        <w:rPr>
          <w:rFonts w:hint="eastAsia"/>
          <w:sz w:val="30"/>
          <w:szCs w:val="30"/>
          <w:lang w:eastAsia="zh-CN"/>
        </w:rPr>
        <w:t>区重建中心进行绩效评价。</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sz w:val="30"/>
          <w:szCs w:val="30"/>
        </w:rPr>
      </w:pPr>
      <w:r>
        <w:rPr>
          <w:rFonts w:hint="eastAsia" w:ascii="黑体" w:hAnsi="黑体" w:eastAsia="黑体"/>
          <w:sz w:val="30"/>
          <w:szCs w:val="30"/>
        </w:rPr>
        <w:t>七、其他需要说明的问题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A2E598"/>
    <w:multiLevelType w:val="singleLevel"/>
    <w:tmpl w:val="37A2E59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FC5361"/>
    <w:rsid w:val="0F9D442C"/>
    <w:rsid w:val="0FA020D2"/>
    <w:rsid w:val="11647609"/>
    <w:rsid w:val="1350502A"/>
    <w:rsid w:val="162B42E5"/>
    <w:rsid w:val="199469F1"/>
    <w:rsid w:val="1C091440"/>
    <w:rsid w:val="1C52742D"/>
    <w:rsid w:val="1DEB2616"/>
    <w:rsid w:val="204E6356"/>
    <w:rsid w:val="3AD22911"/>
    <w:rsid w:val="3E1F0E99"/>
    <w:rsid w:val="3FA713E5"/>
    <w:rsid w:val="428D66B6"/>
    <w:rsid w:val="4B6B03C1"/>
    <w:rsid w:val="4C682197"/>
    <w:rsid w:val="51AE020C"/>
    <w:rsid w:val="5C4770F5"/>
    <w:rsid w:val="5CBD77DE"/>
    <w:rsid w:val="64EE77BF"/>
    <w:rsid w:val="654B7A5A"/>
    <w:rsid w:val="675F416C"/>
    <w:rsid w:val="68AD10BD"/>
    <w:rsid w:val="6F3E64EA"/>
    <w:rsid w:val="6FA57B4D"/>
    <w:rsid w:val="7A5460EB"/>
    <w:rsid w:val="7B727595"/>
    <w:rsid w:val="7BCF2125"/>
    <w:rsid w:val="7E5F2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2020-04-09T09:24:30Z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