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4</w:t>
      </w:r>
    </w:p>
    <w:tbl>
      <w:tblPr>
        <w:tblStyle w:val="2"/>
        <w:tblW w:w="9080" w:type="dxa"/>
        <w:jc w:val="center"/>
        <w:tblLayout w:type="fixed"/>
        <w:tblCellMar>
          <w:top w:w="0" w:type="dxa"/>
          <w:left w:w="108" w:type="dxa"/>
          <w:bottom w:w="0" w:type="dxa"/>
          <w:right w:w="108" w:type="dxa"/>
        </w:tblCellMar>
      </w:tblPr>
      <w:tblGrid>
        <w:gridCol w:w="588"/>
        <w:gridCol w:w="980"/>
        <w:gridCol w:w="1112"/>
        <w:gridCol w:w="730"/>
        <w:gridCol w:w="1134"/>
        <w:gridCol w:w="284"/>
        <w:gridCol w:w="850"/>
        <w:gridCol w:w="851"/>
        <w:gridCol w:w="283"/>
        <w:gridCol w:w="284"/>
        <w:gridCol w:w="425"/>
        <w:gridCol w:w="142"/>
        <w:gridCol w:w="709"/>
        <w:gridCol w:w="708"/>
      </w:tblGrid>
      <w:tr>
        <w:tblPrEx>
          <w:tblCellMar>
            <w:top w:w="0" w:type="dxa"/>
            <w:left w:w="108" w:type="dxa"/>
            <w:bottom w:w="0" w:type="dxa"/>
            <w:right w:w="108" w:type="dxa"/>
          </w:tblCellMar>
        </w:tblPrEx>
        <w:trPr>
          <w:trHeight w:val="771" w:hRule="exact"/>
          <w:jc w:val="center"/>
        </w:trPr>
        <w:tc>
          <w:tcPr>
            <w:tcW w:w="9080" w:type="dxa"/>
            <w:gridSpan w:val="14"/>
            <w:tcBorders>
              <w:top w:val="nil"/>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宋体" w:hAnsi="宋体" w:eastAsia="宋体" w:cs="宋体"/>
                <w:b/>
                <w:bCs/>
                <w:kern w:val="0"/>
                <w:sz w:val="32"/>
                <w:szCs w:val="32"/>
              </w:rPr>
            </w:pPr>
            <w:r>
              <w:rPr>
                <w:rFonts w:hint="eastAsia" w:ascii="仿宋" w:hAnsi="仿宋" w:eastAsia="仿宋" w:cs="仿宋"/>
                <w:b w:val="0"/>
                <w:bCs w:val="0"/>
                <w:kern w:val="0"/>
                <w:sz w:val="36"/>
                <w:szCs w:val="36"/>
              </w:rPr>
              <w:t>2019</w:t>
            </w:r>
            <w:r>
              <w:rPr>
                <w:rFonts w:hint="eastAsia" w:ascii="方正小标宋_GBK" w:hAnsi="方正小标宋_GBK" w:eastAsia="方正小标宋_GBK" w:cs="方正小标宋_GBK"/>
                <w:b w:val="0"/>
                <w:bCs w:val="0"/>
                <w:kern w:val="0"/>
                <w:sz w:val="36"/>
                <w:szCs w:val="36"/>
              </w:rPr>
              <w:t>年</w:t>
            </w:r>
            <w:r>
              <w:rPr>
                <w:rFonts w:hint="eastAsia" w:ascii="方正小标宋_GBK" w:hAnsi="方正小标宋_GBK" w:eastAsia="方正小标宋_GBK" w:cs="方正小标宋_GBK"/>
                <w:b w:val="0"/>
                <w:bCs w:val="0"/>
                <w:kern w:val="0"/>
                <w:sz w:val="36"/>
                <w:szCs w:val="36"/>
                <w:lang w:eastAsia="zh-CN"/>
              </w:rPr>
              <w:t>度</w:t>
            </w:r>
            <w:r>
              <w:rPr>
                <w:rFonts w:hint="eastAsia" w:ascii="方正小标宋_GBK" w:hAnsi="方正小标宋_GBK" w:eastAsia="方正小标宋_GBK" w:cs="方正小标宋_GBK"/>
                <w:b w:val="0"/>
                <w:bCs w:val="0"/>
                <w:kern w:val="0"/>
                <w:sz w:val="36"/>
                <w:szCs w:val="36"/>
              </w:rPr>
              <w:t>专项资金绩效评价自评表</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违法车辆拖车、停车费</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长沙市公安局望城分局</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长沙市公安局望城分局</w:t>
            </w:r>
          </w:p>
        </w:tc>
      </w:tr>
      <w:tr>
        <w:tblPrEx>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项目资金</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267.8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267.8</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r>
      <w:tr>
        <w:tblPrEx>
          <w:tblCellMar>
            <w:top w:w="0" w:type="dxa"/>
            <w:left w:w="108" w:type="dxa"/>
            <w:bottom w:w="0" w:type="dxa"/>
            <w:right w:w="108" w:type="dxa"/>
          </w:tblCellMar>
        </w:tblPrEx>
        <w:trPr>
          <w:trHeight w:val="468"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268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267.8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267.8</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787"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rPr>
              <w:t>优化勤务管理模式，强化交通乱源整治，建立健全交通事故、交通拥堵、设施抢护快速处置机制。全面普及交通安全常识，提升群众交通安全意识</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绩</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效</w:t>
            </w:r>
          </w:p>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指</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10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产出指标</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kern w:val="0"/>
                <w:sz w:val="18"/>
                <w:szCs w:val="18"/>
              </w:rPr>
              <w:t>全区交通违法车辆拖车、停车费取消收费，由财政根据政府采购金额保障</w:t>
            </w:r>
          </w:p>
        </w:tc>
        <w:tc>
          <w:tcPr>
            <w:tcW w:w="850"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41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kern w:val="0"/>
                <w:sz w:val="18"/>
                <w:szCs w:val="18"/>
              </w:rPr>
              <w:t>违法车辆拖车放置指定地点</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1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kern w:val="0"/>
                <w:sz w:val="18"/>
                <w:szCs w:val="18"/>
              </w:rPr>
              <w:t>违法车辆拖车过程中未造成二次损伤</w:t>
            </w:r>
          </w:p>
        </w:tc>
        <w:tc>
          <w:tcPr>
            <w:tcW w:w="850"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6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kern w:val="0"/>
                <w:sz w:val="18"/>
                <w:szCs w:val="18"/>
              </w:rPr>
              <w:t>交通事故处理1小时内达到及时处理</w:t>
            </w:r>
          </w:p>
        </w:tc>
        <w:tc>
          <w:tcPr>
            <w:tcW w:w="850"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80" w:lineRule="exact"/>
              <w:rPr>
                <w:rFonts w:ascii="宋体" w:hAnsi="宋体" w:eastAsia="宋体" w:cs="宋体"/>
                <w:kern w:val="0"/>
                <w:sz w:val="18"/>
                <w:szCs w:val="18"/>
              </w:rPr>
            </w:pPr>
            <w:r>
              <w:rPr>
                <w:rFonts w:hint="eastAsia"/>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kern w:val="0"/>
                <w:sz w:val="18"/>
                <w:szCs w:val="18"/>
              </w:rPr>
              <w:t>根据政府采购招标金额</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68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效益指标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宋体" w:hAnsi="宋体" w:cs="宋体"/>
                <w:sz w:val="18"/>
                <w:szCs w:val="18"/>
              </w:rPr>
              <w:t>降低道路赌点</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仿宋_GB2312" w:eastAsia="仿宋_GB2312"/>
                <w:sz w:val="18"/>
                <w:szCs w:val="18"/>
              </w:rPr>
              <w:t>显著减低</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cs="宋体"/>
                <w:sz w:val="18"/>
                <w:szCs w:val="18"/>
                <w:lang w:eastAsia="zh-CN"/>
              </w:rPr>
              <w:t>同比</w:t>
            </w:r>
            <w:r>
              <w:rPr>
                <w:rFonts w:hint="eastAsia" w:ascii="宋体" w:hAnsi="宋体" w:cs="宋体"/>
                <w:sz w:val="18"/>
                <w:szCs w:val="18"/>
              </w:rPr>
              <w:t>降低</w:t>
            </w:r>
            <w:r>
              <w:rPr>
                <w:rFonts w:hint="eastAsia" w:ascii="宋体" w:hAnsi="宋体" w:cs="宋体"/>
                <w:sz w:val="18"/>
                <w:szCs w:val="18"/>
                <w:lang w:val="en-US" w:eastAsia="zh-CN"/>
              </w:rPr>
              <w:t>2%</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62"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仿宋_GB2312" w:eastAsia="仿宋_GB2312"/>
                <w:sz w:val="18"/>
                <w:szCs w:val="18"/>
              </w:rPr>
              <w:t>减少违法车辆处理时间</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仿宋_GB2312" w:eastAsia="仿宋_GB2312"/>
                <w:sz w:val="18"/>
                <w:szCs w:val="18"/>
              </w:rPr>
              <w:t>限制减少</w:t>
            </w:r>
            <w:r>
              <w:rPr>
                <w:rFonts w:hint="eastAsia"/>
                <w:kern w:val="0"/>
                <w:sz w:val="18"/>
                <w:szCs w:val="18"/>
              </w:rPr>
              <w:t>　</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仿宋_GB2312" w:eastAsia="仿宋_GB2312"/>
                <w:sz w:val="18"/>
                <w:szCs w:val="18"/>
              </w:rPr>
              <w:t>减少</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实际有减少无准确数据</w:t>
            </w:r>
          </w:p>
        </w:tc>
      </w:tr>
      <w:tr>
        <w:tblPrEx>
          <w:tblCellMar>
            <w:top w:w="0" w:type="dxa"/>
            <w:left w:w="108" w:type="dxa"/>
            <w:bottom w:w="0" w:type="dxa"/>
            <w:right w:w="108" w:type="dxa"/>
          </w:tblCellMar>
        </w:tblPrEx>
        <w:trPr>
          <w:trHeight w:val="588"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ascii="仿宋_GB2312" w:eastAsia="仿宋_GB2312"/>
                <w:sz w:val="18"/>
                <w:szCs w:val="18"/>
              </w:rPr>
              <w:t>加快道路通畅时间</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仿宋_GB2312" w:eastAsia="仿宋_GB2312"/>
                <w:sz w:val="18"/>
                <w:szCs w:val="18"/>
              </w:rPr>
              <w:t>显著加快</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仿宋_GB2312" w:eastAsia="仿宋_GB2312"/>
                <w:sz w:val="18"/>
                <w:szCs w:val="18"/>
              </w:rPr>
              <w:t>加快</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lang w:eastAsia="zh-CN"/>
              </w:rPr>
              <w:t>实际有加快无准确数据</w:t>
            </w: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rPr>
              <w:t>指标1：</w:t>
            </w:r>
            <w:r>
              <w:rPr>
                <w:rFonts w:hint="eastAsia" w:ascii="宋体" w:hAnsi="宋体" w:eastAsia="宋体" w:cs="宋体"/>
                <w:color w:val="000000"/>
                <w:kern w:val="0"/>
                <w:sz w:val="18"/>
                <w:szCs w:val="18"/>
                <w:lang w:eastAsia="zh-CN"/>
              </w:rPr>
              <w:t>无</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6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kern w:val="0"/>
                <w:sz w:val="18"/>
                <w:szCs w:val="18"/>
              </w:rPr>
              <w:t>年度交通违法下降率</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kern w:val="0"/>
                <w:sz w:val="18"/>
                <w:szCs w:val="18"/>
              </w:rPr>
              <w:t>5%</w:t>
            </w:r>
            <w:r>
              <w:rPr>
                <w:kern w:val="0"/>
                <w:sz w:val="18"/>
                <w:szCs w:val="18"/>
              </w:rPr>
              <w:t xml:space="preserve"> </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5"/>
                <w:szCs w:val="15"/>
              </w:rPr>
            </w:pPr>
            <w:r>
              <w:rPr>
                <w:rFonts w:hint="eastAsia" w:ascii="宋体" w:hAnsi="宋体" w:eastAsia="宋体" w:cs="宋体"/>
                <w:kern w:val="0"/>
                <w:sz w:val="15"/>
                <w:szCs w:val="15"/>
                <w:lang w:eastAsia="zh-CN"/>
              </w:rPr>
              <w:t>立案同比下降</w:t>
            </w:r>
            <w:r>
              <w:rPr>
                <w:rFonts w:hint="eastAsia" w:ascii="宋体" w:hAnsi="宋体" w:eastAsia="宋体" w:cs="宋体"/>
                <w:kern w:val="0"/>
                <w:sz w:val="15"/>
                <w:szCs w:val="15"/>
                <w:lang w:val="en-US" w:eastAsia="zh-CN"/>
              </w:rPr>
              <w:t>40%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7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指标2：</w:t>
            </w:r>
            <w:r>
              <w:rPr>
                <w:rFonts w:hint="eastAsia" w:ascii="仿宋_GB2312" w:eastAsia="仿宋_GB2312"/>
                <w:sz w:val="18"/>
                <w:szCs w:val="18"/>
              </w:rPr>
              <w:t>交通事故死亡率下降</w:t>
            </w:r>
          </w:p>
        </w:tc>
        <w:tc>
          <w:tcPr>
            <w:tcW w:w="850" w:type="dxa"/>
            <w:tcBorders>
              <w:top w:val="nil"/>
              <w:left w:val="nil"/>
              <w:bottom w:val="single" w:color="auto" w:sz="4" w:space="0"/>
              <w:right w:val="single" w:color="auto" w:sz="4" w:space="0"/>
            </w:tcBorders>
            <w:vAlign w:val="center"/>
          </w:tcPr>
          <w:p>
            <w:pPr>
              <w:widowControl/>
              <w:spacing w:line="280" w:lineRule="exact"/>
              <w:jc w:val="center"/>
              <w:rPr>
                <w:rFonts w:ascii="宋体" w:hAnsi="宋体" w:eastAsia="宋体" w:cs="宋体"/>
                <w:kern w:val="0"/>
                <w:sz w:val="18"/>
                <w:szCs w:val="18"/>
              </w:rPr>
            </w:pPr>
            <w:r>
              <w:rPr>
                <w:rFonts w:hint="eastAsia" w:ascii="仿宋_GB2312" w:eastAsia="仿宋_GB2312"/>
                <w:sz w:val="18"/>
                <w:szCs w:val="18"/>
              </w:rPr>
              <w:t>5%</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5"/>
                <w:szCs w:val="15"/>
              </w:rPr>
            </w:pPr>
            <w:r>
              <w:rPr>
                <w:rFonts w:hint="eastAsia" w:ascii="宋体" w:hAnsi="宋体" w:eastAsia="宋体" w:cs="宋体"/>
                <w:kern w:val="0"/>
                <w:sz w:val="15"/>
                <w:szCs w:val="15"/>
                <w:lang w:eastAsia="zh-CN"/>
              </w:rPr>
              <w:t>同比下降</w:t>
            </w:r>
            <w:r>
              <w:rPr>
                <w:rFonts w:hint="eastAsia" w:ascii="宋体" w:hAnsi="宋体" w:eastAsia="宋体" w:cs="宋体"/>
                <w:kern w:val="0"/>
                <w:sz w:val="15"/>
                <w:szCs w:val="15"/>
                <w:lang w:val="en-US" w:eastAsia="zh-CN"/>
              </w:rPr>
              <w:t>16.4%</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2054"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指标1：</w:t>
            </w:r>
            <w:r>
              <w:rPr>
                <w:rFonts w:hint="eastAsia" w:ascii="仿宋_GB2312" w:eastAsia="仿宋_GB2312"/>
                <w:sz w:val="18"/>
                <w:szCs w:val="18"/>
              </w:rPr>
              <w:t>全面普及交通安全常识，提升群众交通安全意识，群众安全感满意度不断提高，综治民调名次</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仿宋_GB2312" w:eastAsia="仿宋_GB2312"/>
                <w:sz w:val="18"/>
                <w:szCs w:val="18"/>
              </w:rPr>
              <w:t>全市前50%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hAnsi="仿宋_GB2312" w:cs="仿宋_GB2312"/>
                <w:kern w:val="0"/>
                <w:sz w:val="18"/>
                <w:szCs w:val="18"/>
                <w:lang w:val="en-US" w:eastAsia="zh-CN"/>
              </w:rPr>
              <w:t>2019年综治民调得分90.69分，全市排第二</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94</w:t>
            </w:r>
          </w:p>
        </w:tc>
        <w:tc>
          <w:tcPr>
            <w:tcW w:w="1417"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spacing w:line="60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center"/>
        <w:rPr>
          <w:rFonts w:hint="eastAsia" w:ascii="宋体" w:hAnsi="宋体" w:eastAsia="宋体" w:cs="Arial"/>
          <w:b/>
          <w:bCs/>
          <w:sz w:val="36"/>
          <w:szCs w:val="36"/>
        </w:rPr>
      </w:pPr>
    </w:p>
    <w:p>
      <w:pPr>
        <w:jc w:val="center"/>
        <w:rPr>
          <w:rFonts w:hint="eastAsia" w:ascii="仿宋" w:hAnsi="仿宋" w:eastAsia="仿宋" w:cs="仿宋"/>
          <w:b w:val="0"/>
          <w:bCs w:val="0"/>
          <w:sz w:val="36"/>
          <w:szCs w:val="36"/>
          <w:lang w:eastAsia="zh-CN"/>
        </w:rPr>
      </w:pPr>
      <w:r>
        <w:rPr>
          <w:rFonts w:hint="eastAsia" w:ascii="仿宋" w:hAnsi="仿宋" w:eastAsia="仿宋" w:cs="仿宋"/>
          <w:b w:val="0"/>
          <w:bCs w:val="0"/>
          <w:sz w:val="36"/>
          <w:szCs w:val="36"/>
        </w:rPr>
        <w:t>2019</w:t>
      </w:r>
      <w:r>
        <w:rPr>
          <w:rFonts w:hint="eastAsia" w:ascii="方正小标宋_GBK" w:hAnsi="方正小标宋_GBK" w:eastAsia="方正小标宋_GBK" w:cs="方正小标宋_GBK"/>
          <w:b w:val="0"/>
          <w:bCs w:val="0"/>
          <w:sz w:val="36"/>
          <w:szCs w:val="36"/>
        </w:rPr>
        <w:t>年度</w:t>
      </w:r>
      <w:r>
        <w:rPr>
          <w:rFonts w:hint="eastAsia" w:ascii="仿宋" w:hAnsi="仿宋" w:eastAsia="仿宋" w:cs="仿宋"/>
          <w:b w:val="0"/>
          <w:bCs w:val="0"/>
          <w:sz w:val="36"/>
          <w:szCs w:val="36"/>
          <w:lang w:eastAsia="zh-CN"/>
        </w:rPr>
        <w:t>长沙市公安局望城分局违法车辆拖车、停车费专项资金绩效自评报告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一、基本情况</w:t>
      </w:r>
    </w:p>
    <w:p>
      <w:pPr>
        <w:spacing w:line="620" w:lineRule="exact"/>
        <w:ind w:firstLine="600" w:firstLineChars="200"/>
        <w:rPr>
          <w:rFonts w:hint="eastAsia" w:ascii="仿宋_GB2312"/>
          <w:sz w:val="30"/>
          <w:szCs w:val="30"/>
        </w:rPr>
      </w:pPr>
      <w:r>
        <w:rPr>
          <w:rFonts w:hint="eastAsia" w:ascii="仿宋_GB2312"/>
          <w:sz w:val="30"/>
          <w:szCs w:val="30"/>
        </w:rPr>
        <w:t>（一）项目概况。包括项目背景、主要内容及实施情况、资金投入和使用情况等。</w:t>
      </w:r>
    </w:p>
    <w:p>
      <w:pPr>
        <w:numPr>
          <w:ilvl w:val="0"/>
          <w:numId w:val="0"/>
        </w:numPr>
        <w:spacing w:line="600" w:lineRule="exact"/>
        <w:ind w:firstLine="600" w:firstLineChars="200"/>
        <w:rPr>
          <w:rFonts w:hint="eastAsia" w:hAnsi="仿宋_GB2312" w:cs="仿宋_GB2312"/>
          <w:sz w:val="30"/>
          <w:szCs w:val="30"/>
        </w:rPr>
      </w:pPr>
      <w:r>
        <w:rPr>
          <w:sz w:val="30"/>
          <w:szCs w:val="30"/>
        </w:rPr>
        <w:t>1.</w:t>
      </w:r>
      <w:r>
        <w:rPr>
          <w:rFonts w:hint="eastAsia"/>
          <w:kern w:val="0"/>
          <w:sz w:val="30"/>
          <w:szCs w:val="30"/>
        </w:rPr>
        <w:t>项目单位基本情况。</w:t>
      </w:r>
      <w:r>
        <w:rPr>
          <w:rFonts w:hint="eastAsia" w:hAnsi="仿宋_GB2312" w:cs="仿宋_GB2312"/>
          <w:sz w:val="30"/>
          <w:szCs w:val="30"/>
        </w:rPr>
        <w:t>我局为正科级财政全额拨款行政单位，</w:t>
      </w:r>
      <w:r>
        <w:rPr>
          <w:rFonts w:hAnsi="仿宋_GB2312" w:cs="仿宋_GB2312"/>
          <w:sz w:val="30"/>
          <w:szCs w:val="30"/>
        </w:rPr>
        <w:t>20</w:t>
      </w:r>
      <w:r>
        <w:rPr>
          <w:rFonts w:hint="eastAsia" w:hAnsi="仿宋_GB2312" w:cs="仿宋_GB2312"/>
          <w:sz w:val="30"/>
          <w:szCs w:val="30"/>
          <w:lang w:val="en-US" w:eastAsia="zh-CN"/>
        </w:rPr>
        <w:t>19</w:t>
      </w:r>
      <w:r>
        <w:rPr>
          <w:rFonts w:hint="eastAsia" w:hAnsi="仿宋_GB2312" w:cs="仿宋_GB2312"/>
          <w:sz w:val="30"/>
          <w:szCs w:val="30"/>
        </w:rPr>
        <w:t>年人员在职编制数</w:t>
      </w:r>
      <w:r>
        <w:rPr>
          <w:rFonts w:hint="eastAsia" w:hAnsi="仿宋_GB2312" w:cs="仿宋_GB2312"/>
          <w:sz w:val="30"/>
          <w:szCs w:val="30"/>
          <w:lang w:val="en-US" w:eastAsia="zh-CN"/>
        </w:rPr>
        <w:t>348</w:t>
      </w:r>
      <w:r>
        <w:rPr>
          <w:rFonts w:hint="eastAsia" w:hAnsi="仿宋_GB2312" w:cs="仿宋_GB2312"/>
          <w:sz w:val="30"/>
          <w:szCs w:val="30"/>
        </w:rPr>
        <w:t>人，实际在职人员</w:t>
      </w:r>
      <w:r>
        <w:rPr>
          <w:rFonts w:hint="eastAsia" w:hAnsi="仿宋_GB2312" w:cs="仿宋_GB2312"/>
          <w:sz w:val="30"/>
          <w:szCs w:val="30"/>
          <w:lang w:val="en-US" w:eastAsia="zh-CN"/>
        </w:rPr>
        <w:t>1248人，其中</w:t>
      </w:r>
      <w:r>
        <w:rPr>
          <w:rFonts w:hint="eastAsia" w:hAnsi="仿宋_GB2312" w:cs="仿宋_GB2312"/>
          <w:sz w:val="30"/>
          <w:szCs w:val="30"/>
          <w:lang w:eastAsia="zh-CN"/>
        </w:rPr>
        <w:t>民警</w:t>
      </w:r>
      <w:r>
        <w:rPr>
          <w:rFonts w:hint="eastAsia" w:hAnsi="仿宋_GB2312" w:cs="仿宋_GB2312"/>
          <w:sz w:val="30"/>
          <w:szCs w:val="30"/>
          <w:lang w:val="en-US" w:eastAsia="zh-CN"/>
        </w:rPr>
        <w:t>420人，干部职工23人，退役安置士官28人，政府雇员3</w:t>
      </w:r>
      <w:r>
        <w:rPr>
          <w:rFonts w:hint="eastAsia" w:hAnsi="仿宋_GB2312" w:cs="仿宋_GB2312"/>
          <w:sz w:val="30"/>
          <w:szCs w:val="30"/>
        </w:rPr>
        <w:t>人</w:t>
      </w:r>
      <w:r>
        <w:rPr>
          <w:rFonts w:hint="eastAsia" w:hAnsi="仿宋_GB2312" w:cs="仿宋_GB2312"/>
          <w:sz w:val="30"/>
          <w:szCs w:val="30"/>
          <w:lang w:eastAsia="zh-CN"/>
        </w:rPr>
        <w:t>，辅警</w:t>
      </w:r>
      <w:r>
        <w:rPr>
          <w:rFonts w:hint="eastAsia" w:hAnsi="仿宋_GB2312" w:cs="仿宋_GB2312"/>
          <w:sz w:val="30"/>
          <w:szCs w:val="30"/>
          <w:lang w:val="en-US" w:eastAsia="zh-CN"/>
        </w:rPr>
        <w:t>774人.</w:t>
      </w:r>
      <w:r>
        <w:rPr>
          <w:rFonts w:hint="eastAsia" w:hAnsi="仿宋_GB2312" w:cs="仿宋_GB2312"/>
          <w:sz w:val="30"/>
          <w:szCs w:val="30"/>
        </w:rPr>
        <w:t>全局</w:t>
      </w:r>
      <w:r>
        <w:rPr>
          <w:rFonts w:hint="eastAsia" w:hAnsi="仿宋_GB2312" w:cs="仿宋_GB2312"/>
          <w:sz w:val="30"/>
          <w:szCs w:val="30"/>
          <w:lang w:eastAsia="zh-CN"/>
        </w:rPr>
        <w:t>共</w:t>
      </w:r>
      <w:r>
        <w:rPr>
          <w:rFonts w:hAnsi="仿宋_GB2312" w:cs="仿宋_GB2312"/>
          <w:sz w:val="30"/>
          <w:szCs w:val="30"/>
        </w:rPr>
        <w:t>35</w:t>
      </w:r>
      <w:r>
        <w:rPr>
          <w:rFonts w:hint="eastAsia" w:hAnsi="仿宋_GB2312" w:cs="仿宋_GB2312"/>
          <w:sz w:val="30"/>
          <w:szCs w:val="30"/>
        </w:rPr>
        <w:t>个科室所队，其中</w:t>
      </w:r>
      <w:r>
        <w:rPr>
          <w:rFonts w:hAnsi="仿宋_GB2312" w:cs="仿宋_GB2312"/>
          <w:sz w:val="30"/>
          <w:szCs w:val="30"/>
        </w:rPr>
        <w:t>5</w:t>
      </w:r>
      <w:r>
        <w:rPr>
          <w:rFonts w:hint="eastAsia" w:hAnsi="仿宋_GB2312" w:cs="仿宋_GB2312"/>
          <w:sz w:val="30"/>
          <w:szCs w:val="30"/>
        </w:rPr>
        <w:t>个科室（办公室、政工室、警保室、督察及纪检组、警卫科），</w:t>
      </w:r>
      <w:r>
        <w:rPr>
          <w:rFonts w:hAnsi="仿宋_GB2312" w:cs="仿宋_GB2312"/>
          <w:sz w:val="30"/>
          <w:szCs w:val="30"/>
        </w:rPr>
        <w:t>12</w:t>
      </w:r>
      <w:r>
        <w:rPr>
          <w:rFonts w:hint="eastAsia" w:hAnsi="仿宋_GB2312" w:cs="仿宋_GB2312"/>
          <w:sz w:val="30"/>
          <w:szCs w:val="30"/>
        </w:rPr>
        <w:t>个大队（法制、巡特警、刑侦、治安、经侦、国保、禁毒、交警、内保、网络安全保卫、人口与出入境、食药环），</w:t>
      </w:r>
      <w:r>
        <w:rPr>
          <w:rFonts w:hAnsi="仿宋_GB2312" w:cs="仿宋_GB2312"/>
          <w:sz w:val="30"/>
          <w:szCs w:val="30"/>
        </w:rPr>
        <w:t>16</w:t>
      </w:r>
      <w:r>
        <w:rPr>
          <w:rFonts w:hint="eastAsia" w:hAnsi="仿宋_GB2312" w:cs="仿宋_GB2312"/>
          <w:sz w:val="30"/>
          <w:szCs w:val="30"/>
        </w:rPr>
        <w:t>个行政派出所（高塘、乌山、黄金、白箬、星城、桥驿、丁字、铜官、茶亭、月亮岛、格塘、靖港、乔口、新康、同兴、水上），</w:t>
      </w:r>
      <w:r>
        <w:rPr>
          <w:rFonts w:hAnsi="仿宋_GB2312" w:cs="仿宋_GB2312"/>
          <w:sz w:val="30"/>
          <w:szCs w:val="30"/>
        </w:rPr>
        <w:t>1</w:t>
      </w:r>
      <w:r>
        <w:rPr>
          <w:rFonts w:hint="eastAsia" w:hAnsi="仿宋_GB2312" w:cs="仿宋_GB2312"/>
          <w:sz w:val="30"/>
          <w:szCs w:val="30"/>
        </w:rPr>
        <w:t>个看守所，</w:t>
      </w:r>
      <w:r>
        <w:rPr>
          <w:rFonts w:hAnsi="仿宋_GB2312" w:cs="仿宋_GB2312"/>
          <w:sz w:val="30"/>
          <w:szCs w:val="30"/>
        </w:rPr>
        <w:t>1</w:t>
      </w:r>
      <w:r>
        <w:rPr>
          <w:rFonts w:hint="eastAsia" w:hAnsi="仿宋_GB2312" w:cs="仿宋_GB2312"/>
          <w:sz w:val="30"/>
          <w:szCs w:val="30"/>
        </w:rPr>
        <w:t>个治安拘留所。</w:t>
      </w:r>
    </w:p>
    <w:p>
      <w:pPr>
        <w:spacing w:line="620" w:lineRule="exact"/>
        <w:ind w:firstLine="600" w:firstLineChars="200"/>
        <w:rPr>
          <w:rFonts w:hint="eastAsia" w:cs="Times New Roman"/>
          <w:sz w:val="30"/>
          <w:szCs w:val="30"/>
          <w:lang w:eastAsia="zh-CN"/>
        </w:rPr>
      </w:pPr>
      <w:r>
        <w:rPr>
          <w:rFonts w:hint="eastAsia" w:hAnsi="仿宋_GB2312" w:cs="仿宋_GB2312"/>
          <w:sz w:val="30"/>
          <w:szCs w:val="30"/>
        </w:rPr>
        <w:t>。</w:t>
      </w:r>
      <w:r>
        <w:rPr>
          <w:rFonts w:hAnsi="仿宋_GB2312" w:cs="仿宋_GB2312"/>
          <w:sz w:val="30"/>
          <w:szCs w:val="30"/>
        </w:rPr>
        <w:t xml:space="preserve"> </w:t>
      </w:r>
      <w:r>
        <w:rPr>
          <w:rFonts w:hint="eastAsia" w:hAnsi="仿宋_GB2312" w:cs="仿宋_GB2312"/>
          <w:sz w:val="30"/>
          <w:szCs w:val="30"/>
          <w:lang w:eastAsia="zh-CN"/>
        </w:rPr>
        <w:t>其中：</w:t>
      </w:r>
      <w:r>
        <w:rPr>
          <w:rFonts w:hint="eastAsia" w:hAnsi="仿宋_GB2312" w:cs="仿宋_GB2312"/>
          <w:sz w:val="30"/>
          <w:szCs w:val="30"/>
        </w:rPr>
        <w:t>依法管理全区</w:t>
      </w:r>
      <w:r>
        <w:rPr>
          <w:rFonts w:hint="eastAsia" w:hAnsi="仿宋_GB2312" w:cs="仿宋_GB2312"/>
          <w:sz w:val="30"/>
          <w:szCs w:val="30"/>
          <w:lang w:eastAsia="zh-CN"/>
        </w:rPr>
        <w:t>道路</w:t>
      </w:r>
      <w:r>
        <w:rPr>
          <w:rFonts w:hint="eastAsia" w:hAnsi="仿宋_GB2312" w:cs="仿宋_GB2312"/>
          <w:sz w:val="30"/>
          <w:szCs w:val="30"/>
        </w:rPr>
        <w:t>交通安全、车辆和驾驶员，处理交通事故，维护全区的</w:t>
      </w:r>
      <w:r>
        <w:rPr>
          <w:rFonts w:hint="eastAsia" w:hAnsi="仿宋_GB2312" w:cs="仿宋_GB2312"/>
          <w:sz w:val="30"/>
          <w:szCs w:val="30"/>
          <w:lang w:eastAsia="zh-CN"/>
        </w:rPr>
        <w:t>道路</w:t>
      </w:r>
      <w:r>
        <w:rPr>
          <w:rFonts w:hint="eastAsia" w:hAnsi="仿宋_GB2312" w:cs="仿宋_GB2312"/>
          <w:sz w:val="30"/>
          <w:szCs w:val="30"/>
        </w:rPr>
        <w:t>交通秩序</w:t>
      </w:r>
      <w:r>
        <w:rPr>
          <w:rFonts w:hint="eastAsia" w:hAnsi="仿宋_GB2312" w:cs="仿宋_GB2312"/>
          <w:sz w:val="30"/>
          <w:szCs w:val="30"/>
          <w:lang w:eastAsia="zh-CN"/>
        </w:rPr>
        <w:t>是我局的职能职责</w:t>
      </w:r>
      <w:r>
        <w:rPr>
          <w:rFonts w:hint="eastAsia" w:hAnsi="仿宋_GB2312" w:cs="仿宋_GB2312"/>
          <w:sz w:val="30"/>
          <w:szCs w:val="30"/>
        </w:rPr>
        <w:t>。</w:t>
      </w:r>
      <w:r>
        <w:rPr>
          <w:rFonts w:hint="eastAsia"/>
          <w:sz w:val="30"/>
          <w:szCs w:val="30"/>
          <w:lang w:eastAsia="zh-CN"/>
        </w:rPr>
        <w:t>根据</w:t>
      </w:r>
      <w:r>
        <w:rPr>
          <w:rFonts w:hint="eastAsia" w:cs="Times New Roman"/>
          <w:sz w:val="30"/>
          <w:szCs w:val="30"/>
          <w:lang w:eastAsia="zh-CN"/>
        </w:rPr>
        <w:t>《中华人民共和国道路交通安全法》《行政强制法》之规定因查封、扣押发生的保管费用由行政机关承担。</w:t>
      </w:r>
      <w:r>
        <w:rPr>
          <w:rFonts w:hint="eastAsia" w:ascii="仿宋_GB2312" w:cs="Times New Roman"/>
          <w:sz w:val="30"/>
          <w:szCs w:val="30"/>
        </w:rPr>
        <w:t>违法车辆拖车、停车费违法车辆拖车、停车费取消收费</w:t>
      </w:r>
      <w:r>
        <w:rPr>
          <w:rFonts w:hint="eastAsia" w:cs="Times New Roman"/>
          <w:sz w:val="30"/>
          <w:szCs w:val="30"/>
          <w:lang w:eastAsia="zh-CN"/>
        </w:rPr>
        <w:t>后</w:t>
      </w:r>
      <w:r>
        <w:rPr>
          <w:rFonts w:hint="eastAsia" w:ascii="仿宋_GB2312" w:cs="Times New Roman"/>
          <w:sz w:val="30"/>
          <w:szCs w:val="30"/>
        </w:rPr>
        <w:t>，区领导批示</w:t>
      </w:r>
      <w:r>
        <w:rPr>
          <w:rFonts w:hint="eastAsia" w:cs="Times New Roman"/>
          <w:sz w:val="30"/>
          <w:szCs w:val="30"/>
          <w:lang w:eastAsia="zh-CN"/>
        </w:rPr>
        <w:t>由财政根据政府采购合同据实安排。</w:t>
      </w:r>
    </w:p>
    <w:p>
      <w:pPr>
        <w:spacing w:line="620" w:lineRule="exact"/>
        <w:ind w:firstLine="600" w:firstLineChars="200"/>
        <w:rPr>
          <w:rFonts w:hint="eastAsia" w:ascii="仿宋_GB2312" w:cs="Times New Roman"/>
          <w:sz w:val="30"/>
          <w:szCs w:val="30"/>
        </w:rPr>
      </w:pPr>
      <w:r>
        <w:rPr>
          <w:rFonts w:hint="eastAsia" w:ascii="仿宋_GB2312"/>
          <w:sz w:val="30"/>
          <w:szCs w:val="30"/>
        </w:rPr>
        <w:t>主要内容及实施情况</w:t>
      </w:r>
      <w:r>
        <w:rPr>
          <w:rFonts w:hint="eastAsia"/>
          <w:sz w:val="30"/>
          <w:szCs w:val="30"/>
          <w:lang w:eastAsia="zh-CN"/>
        </w:rPr>
        <w:t>：根据区政府采购办公开招标（合同编号</w:t>
      </w:r>
      <w:r>
        <w:rPr>
          <w:rFonts w:hint="eastAsia"/>
          <w:sz w:val="30"/>
          <w:szCs w:val="30"/>
          <w:lang w:val="en-US" w:eastAsia="zh-CN"/>
        </w:rPr>
        <w:t>WCCG-201803290002</w:t>
      </w:r>
      <w:r>
        <w:rPr>
          <w:rFonts w:hint="eastAsia"/>
          <w:sz w:val="30"/>
          <w:szCs w:val="30"/>
          <w:lang w:eastAsia="zh-CN"/>
        </w:rPr>
        <w:t>）确定长沙金盾机动车辆救援服务预算公司为中标单位，负责全区</w:t>
      </w:r>
      <w:r>
        <w:rPr>
          <w:rFonts w:hint="eastAsia"/>
          <w:sz w:val="30"/>
          <w:szCs w:val="30"/>
          <w:lang w:val="en-US" w:eastAsia="zh-CN"/>
        </w:rPr>
        <w:t>违法车辆</w:t>
      </w:r>
      <w:r>
        <w:rPr>
          <w:rFonts w:hint="eastAsia" w:ascii="仿宋_GB2312" w:cs="Times New Roman"/>
          <w:sz w:val="30"/>
          <w:szCs w:val="30"/>
        </w:rPr>
        <w:t>拖车、</w:t>
      </w:r>
      <w:r>
        <w:rPr>
          <w:rFonts w:hint="eastAsia" w:cs="Times New Roman"/>
          <w:sz w:val="30"/>
          <w:szCs w:val="30"/>
          <w:lang w:eastAsia="zh-CN"/>
        </w:rPr>
        <w:t>施救、</w:t>
      </w:r>
      <w:r>
        <w:rPr>
          <w:rFonts w:hint="eastAsia" w:ascii="仿宋_GB2312" w:cs="Times New Roman"/>
          <w:sz w:val="30"/>
          <w:szCs w:val="30"/>
        </w:rPr>
        <w:t>停车</w:t>
      </w:r>
      <w:r>
        <w:rPr>
          <w:rFonts w:hint="eastAsia" w:cs="Times New Roman"/>
          <w:sz w:val="30"/>
          <w:szCs w:val="30"/>
          <w:lang w:eastAsia="zh-CN"/>
        </w:rPr>
        <w:t>保管服务，公司严格遵守《望城区</w:t>
      </w:r>
      <w:r>
        <w:rPr>
          <w:rFonts w:hint="eastAsia"/>
          <w:sz w:val="30"/>
          <w:szCs w:val="30"/>
          <w:lang w:val="en-US" w:eastAsia="zh-CN"/>
        </w:rPr>
        <w:t>违法车辆</w:t>
      </w:r>
      <w:r>
        <w:rPr>
          <w:rFonts w:hint="eastAsia" w:ascii="仿宋_GB2312" w:cs="Times New Roman"/>
          <w:sz w:val="30"/>
          <w:szCs w:val="30"/>
        </w:rPr>
        <w:t>拖车、</w:t>
      </w:r>
      <w:r>
        <w:rPr>
          <w:rFonts w:hint="eastAsia" w:cs="Times New Roman"/>
          <w:sz w:val="30"/>
          <w:szCs w:val="30"/>
          <w:lang w:eastAsia="zh-CN"/>
        </w:rPr>
        <w:t>施救车辆管理制度及考核细则》规定，全年管理优秀，无任何违反合约的事宜</w:t>
      </w:r>
      <w:r>
        <w:rPr>
          <w:rFonts w:hint="eastAsia" w:ascii="仿宋_GB2312" w:cs="Times New Roman"/>
          <w:sz w:val="30"/>
          <w:szCs w:val="30"/>
        </w:rPr>
        <w:t>。</w:t>
      </w:r>
    </w:p>
    <w:p>
      <w:pPr>
        <w:spacing w:line="620" w:lineRule="exact"/>
        <w:ind w:firstLine="600" w:firstLineChars="200"/>
        <w:rPr>
          <w:rFonts w:hint="eastAsia" w:hAnsi="仿宋_GB2312" w:eastAsia="仿宋_GB2312" w:cs="仿宋_GB2312"/>
          <w:sz w:val="30"/>
          <w:szCs w:val="30"/>
          <w:lang w:val="en-US" w:eastAsia="zh-CN"/>
        </w:rPr>
      </w:pPr>
      <w:r>
        <w:rPr>
          <w:rFonts w:hint="eastAsia"/>
          <w:sz w:val="30"/>
          <w:szCs w:val="30"/>
          <w:lang w:val="en-US" w:eastAsia="zh-CN"/>
        </w:rPr>
        <w:t>2019年</w:t>
      </w:r>
      <w:r>
        <w:rPr>
          <w:rFonts w:hint="eastAsia" w:ascii="仿宋_GB2312"/>
          <w:sz w:val="30"/>
          <w:szCs w:val="30"/>
        </w:rPr>
        <w:t>资金投入和使用情况</w:t>
      </w:r>
      <w:r>
        <w:rPr>
          <w:rFonts w:hint="eastAsia"/>
          <w:sz w:val="30"/>
          <w:szCs w:val="30"/>
          <w:lang w:eastAsia="zh-CN"/>
        </w:rPr>
        <w:t>：根据区政府采购办公开招标（合同编号</w:t>
      </w:r>
      <w:r>
        <w:rPr>
          <w:rFonts w:hint="eastAsia"/>
          <w:sz w:val="30"/>
          <w:szCs w:val="30"/>
          <w:lang w:val="en-US" w:eastAsia="zh-CN"/>
        </w:rPr>
        <w:t>WCCG-201803290002</w:t>
      </w:r>
      <w:r>
        <w:rPr>
          <w:rFonts w:hint="eastAsia"/>
          <w:sz w:val="30"/>
          <w:szCs w:val="30"/>
          <w:lang w:eastAsia="zh-CN"/>
        </w:rPr>
        <w:t>）确定</w:t>
      </w:r>
      <w:r>
        <w:rPr>
          <w:rFonts w:hint="eastAsia"/>
          <w:sz w:val="30"/>
          <w:szCs w:val="30"/>
          <w:lang w:val="en-US" w:eastAsia="zh-CN"/>
        </w:rPr>
        <w:t>2019年应支付</w:t>
      </w:r>
      <w:r>
        <w:rPr>
          <w:rFonts w:hint="eastAsia"/>
          <w:sz w:val="30"/>
          <w:szCs w:val="30"/>
          <w:lang w:eastAsia="zh-CN"/>
        </w:rPr>
        <w:t>合同金额</w:t>
      </w:r>
      <w:r>
        <w:rPr>
          <w:rFonts w:hint="eastAsia"/>
          <w:sz w:val="30"/>
          <w:szCs w:val="30"/>
          <w:lang w:val="en-US" w:eastAsia="zh-CN"/>
        </w:rPr>
        <w:t>267.8万元，2019年财政预算拨款267.8万元，分局按合同实际支付267.8万元。</w:t>
      </w:r>
    </w:p>
    <w:p>
      <w:pPr>
        <w:spacing w:line="620" w:lineRule="exact"/>
        <w:ind w:firstLine="600" w:firstLineChars="200"/>
        <w:rPr>
          <w:rFonts w:hint="eastAsia" w:ascii="仿宋_GB2312" w:cs="Times New Roman"/>
          <w:sz w:val="30"/>
          <w:szCs w:val="30"/>
        </w:rPr>
      </w:pPr>
      <w:r>
        <w:rPr>
          <w:rFonts w:hint="eastAsia" w:ascii="仿宋_GB2312"/>
          <w:sz w:val="30"/>
          <w:szCs w:val="30"/>
        </w:rPr>
        <w:t>（二）项目绩效目标。包括总体目标和阶段性目标</w:t>
      </w:r>
      <w:r>
        <w:rPr>
          <w:rFonts w:hint="eastAsia"/>
          <w:sz w:val="30"/>
          <w:szCs w:val="30"/>
          <w:lang w:eastAsia="zh-CN"/>
        </w:rPr>
        <w:t>：</w:t>
      </w:r>
      <w:r>
        <w:rPr>
          <w:rFonts w:hint="eastAsia" w:ascii="仿宋_GB2312" w:cs="Times New Roman"/>
          <w:sz w:val="30"/>
          <w:szCs w:val="30"/>
        </w:rPr>
        <w:t>优化勤务管理模式，强化交通乱源整治，建立健全交通事故、交通拥堵、设施抢护快速处置机制。全面普及交通安全常识，提升群众交通安全意识</w:t>
      </w:r>
      <w:r>
        <w:rPr>
          <w:rFonts w:hint="eastAsia" w:ascii="仿宋_GB2312" w:cs="Times New Roman"/>
          <w:sz w:val="30"/>
          <w:szCs w:val="30"/>
          <w:lang w:eastAsia="zh-CN"/>
        </w:rPr>
        <w:t>。</w:t>
      </w:r>
      <w:r>
        <w:rPr>
          <w:rFonts w:hint="eastAsia" w:ascii="仿宋_GB2312" w:cs="Times New Roman"/>
          <w:sz w:val="30"/>
          <w:szCs w:val="30"/>
        </w:rPr>
        <w:t>上级政策，违法车辆拖车、停车费取消收费，区领导批示件。</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二、绩效评价工作开展情况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sz w:val="30"/>
          <w:szCs w:val="30"/>
        </w:rPr>
      </w:pPr>
      <w:r>
        <w:rPr>
          <w:rFonts w:hint="eastAsia" w:ascii="仿宋_GB2312"/>
          <w:sz w:val="30"/>
          <w:szCs w:val="30"/>
        </w:rPr>
        <w:t>（一）绩效评价目的、对象和范围。</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cs="Times New Roman"/>
          <w:sz w:val="30"/>
          <w:szCs w:val="30"/>
          <w:lang w:eastAsia="zh-CN"/>
        </w:rPr>
      </w:pPr>
      <w:r>
        <w:rPr>
          <w:rFonts w:hint="eastAsia" w:ascii="仿宋_GB2312" w:cs="Times New Roman"/>
          <w:sz w:val="30"/>
          <w:szCs w:val="30"/>
          <w:lang w:eastAsia="zh-CN"/>
        </w:rPr>
        <w:t>绩效评价目的：</w:t>
      </w:r>
      <w:r>
        <w:rPr>
          <w:rFonts w:hint="default" w:ascii="仿宋_GB2312" w:cs="Times New Roman"/>
          <w:sz w:val="30"/>
          <w:szCs w:val="30"/>
          <w:lang w:eastAsia="zh-CN"/>
        </w:rPr>
        <w:t>为贯彻落实《中共中央</w:t>
      </w:r>
      <w:r>
        <w:rPr>
          <w:rFonts w:hint="default" w:ascii="仿宋_GB2312" w:cs="Times New Roman"/>
          <w:sz w:val="30"/>
          <w:szCs w:val="30"/>
          <w:lang w:val="en-US" w:eastAsia="zh-CN"/>
        </w:rPr>
        <w:t xml:space="preserve"> </w:t>
      </w:r>
      <w:r>
        <w:rPr>
          <w:rFonts w:hint="default" w:ascii="仿宋_GB2312" w:cs="Times New Roman"/>
          <w:sz w:val="30"/>
          <w:szCs w:val="30"/>
          <w:lang w:eastAsia="zh-CN"/>
        </w:rPr>
        <w:t>国务院关于全面实施预算绩效管理</w:t>
      </w:r>
      <w:r>
        <w:rPr>
          <w:rFonts w:hint="eastAsia" w:ascii="仿宋_GB2312" w:cs="Times New Roman"/>
          <w:sz w:val="30"/>
          <w:szCs w:val="30"/>
          <w:lang w:eastAsia="zh-CN"/>
        </w:rPr>
        <w:t>的</w:t>
      </w:r>
      <w:r>
        <w:rPr>
          <w:rFonts w:hint="default" w:ascii="仿宋_GB2312" w:cs="Times New Roman"/>
          <w:sz w:val="30"/>
          <w:szCs w:val="30"/>
          <w:lang w:eastAsia="zh-CN"/>
        </w:rPr>
        <w:t>意见》（中发〔</w:t>
      </w:r>
      <w:r>
        <w:rPr>
          <w:rFonts w:hint="eastAsia" w:ascii="仿宋_GB2312" w:cs="Times New Roman"/>
          <w:sz w:val="30"/>
          <w:szCs w:val="30"/>
          <w:lang w:eastAsia="zh-CN"/>
        </w:rPr>
        <w:t>2018</w:t>
      </w:r>
      <w:r>
        <w:rPr>
          <w:rFonts w:hint="default" w:ascii="仿宋_GB2312" w:cs="Times New Roman"/>
          <w:sz w:val="30"/>
          <w:szCs w:val="30"/>
          <w:lang w:eastAsia="zh-CN"/>
        </w:rPr>
        <w:t>〕</w:t>
      </w:r>
      <w:r>
        <w:rPr>
          <w:rFonts w:hint="eastAsia" w:ascii="仿宋_GB2312" w:cs="Times New Roman"/>
          <w:sz w:val="30"/>
          <w:szCs w:val="30"/>
          <w:lang w:eastAsia="zh-CN"/>
        </w:rPr>
        <w:t>34</w:t>
      </w:r>
      <w:r>
        <w:rPr>
          <w:rFonts w:hint="default" w:ascii="仿宋_GB2312" w:cs="Times New Roman"/>
          <w:sz w:val="30"/>
          <w:szCs w:val="30"/>
          <w:lang w:eastAsia="zh-CN"/>
        </w:rPr>
        <w:t>号）和《中共湖南省委办公厅 湖南省人民政府办公厅全面实施预算绩效管理的实施意见》（湘办发〔</w:t>
      </w:r>
      <w:r>
        <w:rPr>
          <w:rFonts w:hint="eastAsia" w:ascii="仿宋_GB2312" w:cs="Times New Roman"/>
          <w:sz w:val="30"/>
          <w:szCs w:val="30"/>
          <w:lang w:eastAsia="zh-CN"/>
        </w:rPr>
        <w:t>2019</w:t>
      </w:r>
      <w:r>
        <w:rPr>
          <w:rFonts w:hint="default" w:ascii="仿宋_GB2312" w:cs="Times New Roman"/>
          <w:sz w:val="30"/>
          <w:szCs w:val="30"/>
          <w:lang w:eastAsia="zh-CN"/>
        </w:rPr>
        <w:t>〕</w:t>
      </w:r>
      <w:r>
        <w:rPr>
          <w:rFonts w:hint="eastAsia" w:ascii="仿宋_GB2312" w:cs="Times New Roman"/>
          <w:sz w:val="30"/>
          <w:szCs w:val="30"/>
          <w:lang w:eastAsia="zh-CN"/>
        </w:rPr>
        <w:t>10</w:t>
      </w:r>
      <w:r>
        <w:rPr>
          <w:rFonts w:hint="default" w:ascii="仿宋_GB2312" w:cs="Times New Roman"/>
          <w:sz w:val="30"/>
          <w:szCs w:val="30"/>
          <w:lang w:eastAsia="zh-CN"/>
        </w:rPr>
        <w:t>号）文件要求，进一步规范财政资金管理，强化部门责任意识，切实提高财政资金使用效益</w:t>
      </w:r>
      <w:r>
        <w:rPr>
          <w:rFonts w:hint="eastAsia" w:ascii="仿宋_GB2312" w:cs="Times New Roman"/>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cs="Times New Roman"/>
          <w:sz w:val="30"/>
          <w:szCs w:val="30"/>
          <w:lang w:val="en-US" w:eastAsia="zh-CN"/>
        </w:rPr>
      </w:pPr>
      <w:r>
        <w:rPr>
          <w:rFonts w:hint="eastAsia" w:ascii="仿宋_GB2312" w:cs="Times New Roman"/>
          <w:sz w:val="30"/>
          <w:szCs w:val="30"/>
          <w:lang w:eastAsia="zh-CN"/>
        </w:rPr>
        <w:t>绩效评价对象和范围：</w:t>
      </w:r>
      <w:r>
        <w:rPr>
          <w:rFonts w:hint="eastAsia" w:ascii="仿宋_GB2312" w:cs="Times New Roman"/>
          <w:sz w:val="30"/>
          <w:szCs w:val="30"/>
          <w:lang w:val="en-US" w:eastAsia="zh-CN"/>
        </w:rPr>
        <w:t>2019年全区</w:t>
      </w:r>
      <w:r>
        <w:rPr>
          <w:rFonts w:hint="eastAsia" w:ascii="仿宋_GB2312" w:cs="Times New Roman"/>
          <w:sz w:val="30"/>
          <w:szCs w:val="30"/>
          <w:lang w:eastAsia="zh-CN"/>
        </w:rPr>
        <w:t>城市交通标识标牌建设和全区交通信号灯维护</w:t>
      </w:r>
      <w:r>
        <w:rPr>
          <w:rFonts w:hint="eastAsia" w:ascii="仿宋_GB2312" w:cs="Times New Roman"/>
          <w:sz w:val="30"/>
          <w:szCs w:val="30"/>
          <w:lang w:val="en-US" w:eastAsia="zh-CN"/>
        </w:rPr>
        <w:t>资金使用情况。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sz w:val="30"/>
          <w:szCs w:val="30"/>
          <w:lang w:eastAsia="zh-CN"/>
        </w:rPr>
      </w:pPr>
      <w:r>
        <w:rPr>
          <w:rFonts w:hint="eastAsia" w:ascii="仿宋_GB2312"/>
          <w:sz w:val="30"/>
          <w:szCs w:val="30"/>
        </w:rPr>
        <w:t>（二）绩效评价原则、评价指标体系（附表说明）、评价方法、评价标准等。</w:t>
      </w:r>
      <w:r>
        <w:rPr>
          <w:rFonts w:hint="eastAsia"/>
          <w:sz w:val="30"/>
          <w:szCs w:val="30"/>
          <w:lang w:eastAsia="zh-CN"/>
        </w:rPr>
        <w:t>绩效评价原则：运用科学合理的方法，按照规范的程序，对项目绩效进行客观、公正的反映。由项目单位自主实施，即“谁支出、谁自评”。</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sz w:val="30"/>
          <w:szCs w:val="30"/>
          <w:lang w:eastAsia="zh-CN"/>
        </w:rPr>
        <w:t>评价指标体系：资金执行率</w:t>
      </w:r>
      <w:r>
        <w:rPr>
          <w:rFonts w:hint="eastAsia"/>
          <w:sz w:val="30"/>
          <w:szCs w:val="30"/>
          <w:lang w:val="en-US" w:eastAsia="zh-CN"/>
        </w:rPr>
        <w:t xml:space="preserve">  10分；产出  50分；效益  30分；服务对象  10分。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sz w:val="30"/>
          <w:szCs w:val="30"/>
          <w:lang w:val="en-US" w:eastAsia="zh-CN"/>
        </w:rPr>
        <w:t>评价方法：采用定量与定性评价相结合，主要采取成本效益分析法和公众评判法来进行项目的预算绩效评价。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hint="eastAsia"/>
          <w:sz w:val="30"/>
          <w:szCs w:val="30"/>
          <w:lang w:val="en-US" w:eastAsia="zh-CN"/>
        </w:rPr>
      </w:pPr>
      <w:r>
        <w:rPr>
          <w:rFonts w:hint="eastAsia" w:ascii="仿宋_GB2312"/>
          <w:sz w:val="30"/>
          <w:szCs w:val="30"/>
        </w:rPr>
        <w:t>评价标准</w:t>
      </w:r>
      <w:r>
        <w:rPr>
          <w:rFonts w:hint="eastAsia"/>
          <w:sz w:val="30"/>
          <w:szCs w:val="30"/>
          <w:lang w:eastAsia="zh-CN"/>
        </w:rPr>
        <w:t>：以</w:t>
      </w:r>
      <w:r>
        <w:rPr>
          <w:rFonts w:hint="eastAsia"/>
          <w:sz w:val="30"/>
          <w:szCs w:val="30"/>
          <w:lang w:val="en-US" w:eastAsia="zh-CN"/>
        </w:rPr>
        <w:t>2019年预算绩效申报计划制定的目标、计划、预算、定额等作为评价标准。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outlineLvl w:val="9"/>
        <w:rPr>
          <w:rFonts w:ascii="仿宋_GB2312"/>
          <w:sz w:val="30"/>
          <w:szCs w:val="30"/>
        </w:rPr>
      </w:pPr>
      <w:r>
        <w:rPr>
          <w:rFonts w:hint="eastAsia" w:ascii="仿宋_GB2312"/>
          <w:sz w:val="30"/>
          <w:szCs w:val="30"/>
        </w:rPr>
        <w:t>（三）绩效评价工作过程。</w:t>
      </w:r>
      <w:r>
        <w:rPr>
          <w:rFonts w:hint="eastAsia"/>
          <w:sz w:val="30"/>
          <w:szCs w:val="30"/>
          <w:lang w:eastAsia="zh-CN"/>
        </w:rPr>
        <w:t>评价小组对本次专项资金绩效评价采取到项目主管部门查看项目申报、评审、公示等资料和抽查项目单位现场相结合的方式进行评价。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三、综合评价情况及评价结论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00" w:firstLineChars="200"/>
        <w:textAlignment w:val="auto"/>
        <w:rPr>
          <w:rFonts w:ascii="仿宋_GB2312"/>
          <w:sz w:val="30"/>
          <w:szCs w:val="30"/>
        </w:rPr>
      </w:pPr>
      <w:r>
        <w:rPr>
          <w:rFonts w:hint="eastAsia"/>
          <w:sz w:val="30"/>
          <w:szCs w:val="30"/>
          <w:lang w:val="en-US" w:eastAsia="zh-CN"/>
        </w:rPr>
        <w:t>项目自评分93分，评价结果为优。</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四、绩效评价指标分析</w:t>
      </w:r>
    </w:p>
    <w:p>
      <w:pPr>
        <w:spacing w:line="620" w:lineRule="exact"/>
        <w:ind w:firstLine="600" w:firstLineChars="200"/>
        <w:rPr>
          <w:rFonts w:hint="eastAsia" w:cs="Times New Roman"/>
          <w:sz w:val="30"/>
          <w:szCs w:val="30"/>
          <w:lang w:eastAsia="zh-CN"/>
        </w:rPr>
      </w:pPr>
      <w:r>
        <w:rPr>
          <w:rFonts w:hint="eastAsia" w:ascii="仿宋_GB2312"/>
          <w:sz w:val="30"/>
          <w:szCs w:val="30"/>
        </w:rPr>
        <w:t>（一）项目决策情况。</w:t>
      </w:r>
      <w:r>
        <w:rPr>
          <w:rFonts w:hint="eastAsia" w:ascii="仿宋_GB2312" w:cs="Times New Roman"/>
          <w:sz w:val="30"/>
          <w:szCs w:val="30"/>
        </w:rPr>
        <w:t>加强道路交通安全管理，负责道路交通管理基础设施建设，查处各类交通违法行为，加强道路交通安全宣传，负责交通事故处理和交通事故逃逸案件侦破，负责机动车注册年检工作，交通特殊勤务和交通警卫，维护重大节日和大型活动交通秩序等</w:t>
      </w:r>
      <w:r>
        <w:rPr>
          <w:rFonts w:hint="eastAsia" w:ascii="仿宋_GB2312" w:cs="Times New Roman"/>
          <w:sz w:val="30"/>
          <w:szCs w:val="30"/>
          <w:lang w:eastAsia="zh-CN"/>
        </w:rPr>
        <w:t>是公安交警的职能职责。</w:t>
      </w:r>
      <w:r>
        <w:rPr>
          <w:rFonts w:hint="eastAsia"/>
          <w:sz w:val="30"/>
          <w:szCs w:val="30"/>
          <w:lang w:eastAsia="zh-CN"/>
        </w:rPr>
        <w:t>根据</w:t>
      </w:r>
      <w:r>
        <w:rPr>
          <w:rFonts w:hint="eastAsia" w:cs="Times New Roman"/>
          <w:sz w:val="30"/>
          <w:szCs w:val="30"/>
          <w:lang w:eastAsia="zh-CN"/>
        </w:rPr>
        <w:t>《中华人民共和国道路交通安全</w:t>
      </w:r>
      <w:bookmarkStart w:id="0" w:name="_GoBack"/>
      <w:bookmarkEnd w:id="0"/>
      <w:r>
        <w:rPr>
          <w:rFonts w:hint="eastAsia" w:cs="Times New Roman"/>
          <w:sz w:val="30"/>
          <w:szCs w:val="30"/>
          <w:lang w:eastAsia="zh-CN"/>
        </w:rPr>
        <w:t>法》《行政强制法》之规定因查封、扣押发生的保管费用由行政机关承担。</w:t>
      </w:r>
      <w:r>
        <w:rPr>
          <w:rFonts w:hint="eastAsia" w:ascii="仿宋_GB2312" w:cs="Times New Roman"/>
          <w:sz w:val="30"/>
          <w:szCs w:val="30"/>
        </w:rPr>
        <w:t>违法车辆拖车、停车费违法车辆拖车、停车费取消收费</w:t>
      </w:r>
      <w:r>
        <w:rPr>
          <w:rFonts w:hint="eastAsia" w:cs="Times New Roman"/>
          <w:sz w:val="30"/>
          <w:szCs w:val="30"/>
          <w:lang w:eastAsia="zh-CN"/>
        </w:rPr>
        <w:t>后</w:t>
      </w:r>
      <w:r>
        <w:rPr>
          <w:rFonts w:hint="eastAsia" w:ascii="仿宋_GB2312" w:cs="Times New Roman"/>
          <w:sz w:val="30"/>
          <w:szCs w:val="30"/>
        </w:rPr>
        <w:t>，区领导批示</w:t>
      </w:r>
      <w:r>
        <w:rPr>
          <w:rFonts w:hint="eastAsia" w:cs="Times New Roman"/>
          <w:sz w:val="30"/>
          <w:szCs w:val="30"/>
          <w:lang w:eastAsia="zh-CN"/>
        </w:rPr>
        <w:t>由财政根据政府采购合同据实安排。</w:t>
      </w:r>
    </w:p>
    <w:p>
      <w:pPr>
        <w:spacing w:line="620" w:lineRule="exact"/>
        <w:ind w:firstLine="600" w:firstLineChars="200"/>
        <w:rPr>
          <w:rFonts w:hint="eastAsia" w:ascii="仿宋_GB2312" w:cs="Times New Roman"/>
          <w:sz w:val="30"/>
          <w:szCs w:val="30"/>
        </w:rPr>
      </w:pPr>
      <w:r>
        <w:rPr>
          <w:rFonts w:hint="eastAsia" w:ascii="仿宋_GB2312"/>
          <w:sz w:val="30"/>
          <w:szCs w:val="30"/>
        </w:rPr>
        <w:t>（二）项目过程情况。</w:t>
      </w:r>
      <w:r>
        <w:rPr>
          <w:rFonts w:hint="eastAsia"/>
          <w:sz w:val="30"/>
          <w:szCs w:val="30"/>
          <w:lang w:eastAsia="zh-CN"/>
        </w:rPr>
        <w:t>长沙金盾机动车辆救援服务预算公司为中标单位，负责全区</w:t>
      </w:r>
      <w:r>
        <w:rPr>
          <w:rFonts w:hint="eastAsia"/>
          <w:sz w:val="30"/>
          <w:szCs w:val="30"/>
          <w:lang w:val="en-US" w:eastAsia="zh-CN"/>
        </w:rPr>
        <w:t>违法车辆</w:t>
      </w:r>
      <w:r>
        <w:rPr>
          <w:rFonts w:hint="eastAsia" w:ascii="仿宋_GB2312" w:cs="Times New Roman"/>
          <w:sz w:val="30"/>
          <w:szCs w:val="30"/>
        </w:rPr>
        <w:t>拖车、</w:t>
      </w:r>
      <w:r>
        <w:rPr>
          <w:rFonts w:hint="eastAsia" w:cs="Times New Roman"/>
          <w:sz w:val="30"/>
          <w:szCs w:val="30"/>
          <w:lang w:eastAsia="zh-CN"/>
        </w:rPr>
        <w:t>施救、</w:t>
      </w:r>
      <w:r>
        <w:rPr>
          <w:rFonts w:hint="eastAsia" w:ascii="仿宋_GB2312" w:cs="Times New Roman"/>
          <w:sz w:val="30"/>
          <w:szCs w:val="30"/>
        </w:rPr>
        <w:t>停车</w:t>
      </w:r>
      <w:r>
        <w:rPr>
          <w:rFonts w:hint="eastAsia" w:cs="Times New Roman"/>
          <w:sz w:val="30"/>
          <w:szCs w:val="30"/>
          <w:lang w:eastAsia="zh-CN"/>
        </w:rPr>
        <w:t>保管服务，公司严格遵守《望城区</w:t>
      </w:r>
      <w:r>
        <w:rPr>
          <w:rFonts w:hint="eastAsia"/>
          <w:sz w:val="30"/>
          <w:szCs w:val="30"/>
          <w:lang w:val="en-US" w:eastAsia="zh-CN"/>
        </w:rPr>
        <w:t>违法车辆</w:t>
      </w:r>
      <w:r>
        <w:rPr>
          <w:rFonts w:hint="eastAsia" w:ascii="仿宋_GB2312" w:cs="Times New Roman"/>
          <w:sz w:val="30"/>
          <w:szCs w:val="30"/>
        </w:rPr>
        <w:t>拖车、</w:t>
      </w:r>
      <w:r>
        <w:rPr>
          <w:rFonts w:hint="eastAsia" w:cs="Times New Roman"/>
          <w:sz w:val="30"/>
          <w:szCs w:val="30"/>
          <w:lang w:eastAsia="zh-CN"/>
        </w:rPr>
        <w:t>施救车辆管理制度及考核细则》规定，全年管理优秀，无任何违反合约的事宜</w:t>
      </w:r>
      <w:r>
        <w:rPr>
          <w:rFonts w:hint="eastAsia" w:ascii="仿宋_GB2312" w:cs="Times New Roman"/>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300" w:firstLineChars="100"/>
        <w:textAlignment w:val="auto"/>
        <w:outlineLvl w:val="0"/>
        <w:rPr>
          <w:rFonts w:hint="eastAsia" w:ascii="仿宋_GB2312" w:cs="Times New Roman"/>
          <w:sz w:val="30"/>
          <w:szCs w:val="30"/>
        </w:rPr>
      </w:pPr>
      <w:r>
        <w:rPr>
          <w:rFonts w:hint="eastAsia" w:ascii="仿宋_GB2312"/>
          <w:sz w:val="30"/>
          <w:szCs w:val="30"/>
        </w:rPr>
        <w:t>（三）项目产出情况。</w:t>
      </w:r>
      <w:r>
        <w:rPr>
          <w:rFonts w:hint="eastAsia" w:ascii="仿宋_GB2312" w:cs="Times New Roman"/>
          <w:sz w:val="30"/>
          <w:szCs w:val="30"/>
          <w:lang w:eastAsia="zh-CN"/>
        </w:rPr>
        <w:t>持续深入推</w:t>
      </w:r>
      <w:r>
        <w:rPr>
          <w:rFonts w:hint="eastAsia" w:ascii="仿宋_GB2312" w:cs="Times New Roman"/>
          <w:sz w:val="30"/>
          <w:szCs w:val="30"/>
          <w:lang w:val="en-US" w:eastAsia="zh-CN"/>
        </w:rPr>
        <w:t>进“四货三客三混”、“农村交通安全守护行动”、“国省道专项整治”、“酒驾醉驾”、“赛摩”等系列专项整治行动，严惩交通违法，共查处酒驾醉驾1035起，超载1554起，超员390起，查扣大功率摩托车2183台，确保交通安全和畅通。对重点企业开展安全生产检查7场次，及时发现整治安全隐患和问题8处，对不合要求的车辆、驾驶人下发整改通知20份，整改20起，切实消除安全隐患。</w:t>
      </w:r>
    </w:p>
    <w:p>
      <w:pPr>
        <w:keepNext w:val="0"/>
        <w:keepLines w:val="0"/>
        <w:pageBreakBefore w:val="0"/>
        <w:widowControl w:val="0"/>
        <w:kinsoku/>
        <w:wordWrap/>
        <w:overflowPunct/>
        <w:topLinePunct w:val="0"/>
        <w:autoSpaceDE/>
        <w:autoSpaceDN/>
        <w:bidi w:val="0"/>
        <w:adjustRightInd/>
        <w:snapToGrid/>
        <w:spacing w:line="540" w:lineRule="exact"/>
        <w:ind w:firstLine="300" w:firstLineChars="100"/>
        <w:textAlignment w:val="auto"/>
        <w:outlineLvl w:val="0"/>
        <w:rPr>
          <w:rFonts w:hint="eastAsia" w:ascii="仿宋_GB2312" w:cs="Times New Roman"/>
          <w:sz w:val="30"/>
          <w:szCs w:val="30"/>
        </w:rPr>
      </w:pPr>
      <w:r>
        <w:rPr>
          <w:rFonts w:hint="eastAsia" w:ascii="仿宋_GB2312" w:cs="Times New Roman"/>
          <w:sz w:val="30"/>
          <w:szCs w:val="30"/>
        </w:rPr>
        <w:t>（四）项目效益情况。</w:t>
      </w:r>
      <w:r>
        <w:rPr>
          <w:rFonts w:hint="eastAsia" w:ascii="仿宋_GB2312" w:cs="Times New Roman"/>
          <w:sz w:val="30"/>
          <w:szCs w:val="30"/>
          <w:lang w:val="en-US" w:eastAsia="zh-CN"/>
        </w:rPr>
        <w:t>全区交通事故立案同比下降40%，死亡人数</w:t>
      </w:r>
      <w:r>
        <w:rPr>
          <w:rFonts w:hint="default" w:ascii="仿宋_GB2312" w:cs="Times New Roman"/>
          <w:sz w:val="30"/>
          <w:szCs w:val="30"/>
          <w:lang w:val="en-US" w:eastAsia="zh-CN"/>
        </w:rPr>
        <w:t>同比下降</w:t>
      </w:r>
      <w:r>
        <w:rPr>
          <w:rFonts w:hint="eastAsia" w:ascii="仿宋_GB2312" w:cs="Times New Roman"/>
          <w:sz w:val="30"/>
          <w:szCs w:val="30"/>
          <w:lang w:val="en-US" w:eastAsia="zh-CN"/>
        </w:rPr>
        <w:t>16.4</w:t>
      </w:r>
      <w:r>
        <w:rPr>
          <w:rFonts w:hint="default" w:ascii="仿宋_GB2312" w:cs="Times New Roman"/>
          <w:sz w:val="30"/>
          <w:szCs w:val="30"/>
          <w:lang w:val="en-US" w:eastAsia="zh-CN"/>
        </w:rPr>
        <w:t>%</w:t>
      </w:r>
      <w:r>
        <w:rPr>
          <w:rFonts w:hint="eastAsia" w:ascii="仿宋_GB2312" w:cs="Times New Roman"/>
          <w:sz w:val="30"/>
          <w:szCs w:val="30"/>
          <w:lang w:val="en-US" w:eastAsia="zh-CN"/>
        </w:rPr>
        <w:t>。针对节假日，交警取消休假全警上路，重点开展交通保畅工作，确保了全区道路交通</w:t>
      </w:r>
      <w:r>
        <w:rPr>
          <w:rFonts w:hint="eastAsia" w:ascii="仿宋_GB2312" w:cs="Times New Roman"/>
          <w:sz w:val="30"/>
          <w:szCs w:val="30"/>
          <w:lang w:eastAsia="zh-CN"/>
        </w:rPr>
        <w:t>安全畅通。</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ascii="黑体" w:hAnsi="黑体" w:eastAsia="黑体"/>
          <w:sz w:val="30"/>
          <w:szCs w:val="30"/>
        </w:rPr>
      </w:pPr>
      <w:r>
        <w:rPr>
          <w:rFonts w:hint="eastAsia" w:ascii="黑体" w:hAnsi="黑体" w:eastAsia="黑体"/>
          <w:sz w:val="30"/>
          <w:szCs w:val="30"/>
        </w:rPr>
        <w:t>六、有关建议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sz w:val="30"/>
          <w:szCs w:val="30"/>
        </w:rPr>
      </w:pPr>
      <w:r>
        <w:rPr>
          <w:rFonts w:hint="eastAsia" w:ascii="黑体" w:hAnsi="黑体" w:eastAsia="黑体"/>
          <w:sz w:val="30"/>
          <w:szCs w:val="30"/>
        </w:rPr>
        <w:t>七、其他需要说明的问题</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85BB1"/>
    <w:rsid w:val="134C6DBF"/>
    <w:rsid w:val="17143815"/>
    <w:rsid w:val="18DD40DB"/>
    <w:rsid w:val="1BEB7CCC"/>
    <w:rsid w:val="227C1DA9"/>
    <w:rsid w:val="385359EB"/>
    <w:rsid w:val="3B981A1E"/>
    <w:rsid w:val="406D7D41"/>
    <w:rsid w:val="422C13CA"/>
    <w:rsid w:val="43D4334F"/>
    <w:rsid w:val="44AC664D"/>
    <w:rsid w:val="45BC657D"/>
    <w:rsid w:val="645E5B15"/>
    <w:rsid w:val="6823259D"/>
    <w:rsid w:val="6F3E64EA"/>
    <w:rsid w:val="6FA57B4D"/>
    <w:rsid w:val="78AE5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麦子没熟</cp:lastModifiedBy>
  <dcterms:modified xsi:type="dcterms:W3CDTF">2022-03-12T05:39:12Z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28B775D3BBC24768A1093C415B2D618D</vt:lpwstr>
  </property>
</Properties>
</file>