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tbl>
      <w:tblPr>
        <w:tblStyle w:val="4"/>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长沙市公安局望城分局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256675932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320628822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256675932</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320628822</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256675932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320628822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108878232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141455605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147797700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179173217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620" w:lineRule="exact"/>
              <w:ind w:firstLine="480" w:firstLineChars="200"/>
              <w:rPr>
                <w:rFonts w:ascii="宋体" w:hAnsi="宋体" w:cs="宋体"/>
                <w:sz w:val="24"/>
              </w:rPr>
            </w:pPr>
            <w:r>
              <w:rPr>
                <w:rFonts w:hint="eastAsia" w:ascii="宋体" w:hAnsi="宋体" w:cs="宋体"/>
                <w:sz w:val="24"/>
              </w:rPr>
              <w:t>“以习近平新时代中国特色社会主义思想为指引，围绕“努力建设更加美丽强盛幸福的名望之城建设”的工作目标，突出党建引领政治建警，以人民群众满意为最高标准推动公安工作迈向更高水平。具体是：围绕“一条主线”，强化“两大支撑”，推进“三个同步”，即：紧紧围绕贯彻落实十九大精神这条主线，强化现代警务机制和大数据支撑，推进队伍建设、业务工作、规范执法同步发展，打造“共建、共治、共享”的社会治理新格局，推动望城公安工作转型升级、提质增效、走在前列。</w:t>
            </w:r>
          </w:p>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w:t>
            </w:r>
          </w:p>
        </w:tc>
        <w:tc>
          <w:tcPr>
            <w:tcW w:w="3983" w:type="dxa"/>
            <w:gridSpan w:val="6"/>
            <w:tcBorders>
              <w:tl2br w:val="nil"/>
              <w:tr2bl w:val="nil"/>
            </w:tcBorders>
            <w:tcMar>
              <w:top w:w="15" w:type="dxa"/>
              <w:left w:w="15" w:type="dxa"/>
              <w:bottom w:w="0" w:type="dxa"/>
              <w:right w:w="15" w:type="dxa"/>
            </w:tcMar>
            <w:vAlign w:val="center"/>
          </w:tcPr>
          <w:p>
            <w:pPr>
              <w:spacing w:line="620" w:lineRule="exact"/>
              <w:ind w:firstLine="480" w:firstLineChars="200"/>
              <w:rPr>
                <w:rFonts w:ascii="宋体" w:hAnsi="宋体" w:cs="宋体"/>
                <w:sz w:val="24"/>
              </w:rPr>
            </w:pPr>
            <w:r>
              <w:rPr>
                <w:rFonts w:hint="eastAsia" w:ascii="宋体" w:hAnsi="宋体" w:cs="宋体"/>
                <w:sz w:val="24"/>
              </w:rPr>
              <w:t>2019年，实现了“一稳两低三零”工作目标：成功打赢了新中国</w:t>
            </w:r>
            <w:bookmarkStart w:id="0" w:name="_GoBack"/>
            <w:bookmarkEnd w:id="0"/>
            <w:r>
              <w:rPr>
                <w:rFonts w:hint="eastAsia" w:ascii="宋体" w:hAnsi="宋体" w:cs="宋体"/>
                <w:sz w:val="24"/>
                <w:lang w:eastAsia="zh-CN"/>
              </w:rPr>
              <w:t>成立</w:t>
            </w:r>
            <w:r>
              <w:rPr>
                <w:rFonts w:hint="eastAsia" w:ascii="宋体" w:hAnsi="宋体" w:cs="宋体"/>
                <w:sz w:val="24"/>
              </w:rPr>
              <w:t>70周年大庆安保攻坚战，确保了全面稳定；全区刑事发案数、万人发案数均持续保持全市最低；全年没有发生较大交通、消防事故和造成恶劣影响的案事件。群众安全感和满意度调查均居全市前列，形成了“发案洼地、治安高地”的品牌效应，实现了发案少、秩序好、社会稳定、群众满意的工作目标。</w:t>
            </w:r>
          </w:p>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ind w:firstLine="211"/>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r>
        <w:rPr>
          <w:rFonts w:hint="eastAsia" w:ascii="Times New Roman" w:hAnsi="Times New Roman" w:eastAsia="方正小标宋简体"/>
          <w:bCs/>
          <w:color w:val="000000"/>
          <w:kern w:val="0"/>
          <w:sz w:val="36"/>
          <w:szCs w:val="36"/>
        </w:rPr>
        <w:t>90分</w:t>
      </w:r>
    </w:p>
    <w:p>
      <w:pPr>
        <w:adjustRightInd w:val="0"/>
        <w:snapToGrid w:val="0"/>
        <w:spacing w:line="600" w:lineRule="exact"/>
        <w:jc w:val="center"/>
        <w:rPr>
          <w:rFonts w:ascii="Times New Roman" w:hAnsi="Times New Roman" w:eastAsia="方正小标宋简体"/>
          <w:bCs/>
          <w:color w:val="000000"/>
          <w:kern w:val="0"/>
          <w:sz w:val="36"/>
          <w:szCs w:val="36"/>
        </w:rPr>
      </w:pPr>
    </w:p>
    <w:p>
      <w:pPr>
        <w:jc w:val="left"/>
        <w:rPr>
          <w:rFonts w:ascii="黑体" w:hAnsi="黑体" w:eastAsia="黑体" w:cs="黑体"/>
          <w:kern w:val="0"/>
        </w:rPr>
      </w:pPr>
      <w:r>
        <w:rPr>
          <w:rFonts w:hint="eastAsia" w:ascii="黑体" w:hAnsi="黑体" w:eastAsia="黑体" w:cs="黑体"/>
          <w:kern w:val="0"/>
        </w:rPr>
        <w:t>附件3</w:t>
      </w:r>
    </w:p>
    <w:p>
      <w:pPr>
        <w:spacing w:line="600" w:lineRule="exact"/>
        <w:jc w:val="center"/>
        <w:rPr>
          <w:rFonts w:ascii="Times New Roman" w:hAnsi="Times New Roman" w:eastAsia="方正小标宋简体"/>
          <w:sz w:val="36"/>
          <w:szCs w:val="36"/>
        </w:rPr>
      </w:pPr>
    </w:p>
    <w:p>
      <w:pPr>
        <w:spacing w:line="600" w:lineRule="exact"/>
        <w:jc w:val="center"/>
        <w:rPr>
          <w:rFonts w:ascii="Times New Roman" w:hAnsi="Times New Roman" w:eastAsia="方正小标宋简体"/>
          <w:sz w:val="36"/>
          <w:szCs w:val="36"/>
        </w:rPr>
      </w:pPr>
      <w:r>
        <w:rPr>
          <w:rFonts w:hint="eastAsia" w:ascii="方正小标宋_GBK" w:hAnsi="方正小标宋_GBK" w:eastAsia="方正小标宋_GBK" w:cs="方正小标宋_GBK"/>
          <w:sz w:val="36"/>
          <w:szCs w:val="36"/>
        </w:rPr>
        <w:t>2019年度长沙市公安局望城分局部门整体支出预算绩效</w:t>
      </w:r>
      <w:r>
        <w:rPr>
          <w:rFonts w:ascii="Times New Roman" w:hAnsi="Times New Roman" w:eastAsia="方正小标宋简体"/>
          <w:sz w:val="36"/>
          <w:szCs w:val="36"/>
        </w:rPr>
        <w:t>自评报告</w:t>
      </w:r>
    </w:p>
    <w:p>
      <w:pPr>
        <w:spacing w:line="600" w:lineRule="exact"/>
        <w:jc w:val="center"/>
        <w:rPr>
          <w:rFonts w:ascii="Times New Roman" w:hAnsi="Times New Roman"/>
        </w:rPr>
      </w:pPr>
    </w:p>
    <w:p>
      <w:pPr>
        <w:numPr>
          <w:ilvl w:val="0"/>
          <w:numId w:val="1"/>
        </w:numPr>
        <w:spacing w:line="600" w:lineRule="exact"/>
        <w:ind w:firstLine="600" w:firstLineChars="200"/>
        <w:rPr>
          <w:rFonts w:ascii="Times New Roman" w:hAnsi="Times New Roman" w:eastAsia="黑体"/>
          <w:sz w:val="30"/>
        </w:rPr>
      </w:pPr>
      <w:r>
        <w:rPr>
          <w:rFonts w:ascii="Times New Roman" w:hAnsi="Times New Roman" w:eastAsia="黑体"/>
          <w:sz w:val="30"/>
        </w:rPr>
        <w:t>部门（单位）基本情况</w:t>
      </w:r>
    </w:p>
    <w:p>
      <w:pPr>
        <w:spacing w:line="600" w:lineRule="exact"/>
        <w:ind w:firstLine="600" w:firstLineChars="200"/>
        <w:rPr>
          <w:rFonts w:hAnsi="仿宋_GB2312" w:cs="仿宋_GB2312"/>
          <w:sz w:val="30"/>
          <w:szCs w:val="30"/>
        </w:rPr>
      </w:pPr>
      <w:r>
        <w:rPr>
          <w:rFonts w:hint="eastAsia" w:hAnsi="仿宋_GB2312" w:cs="仿宋_GB2312"/>
          <w:sz w:val="30"/>
          <w:szCs w:val="30"/>
        </w:rPr>
        <w:t>我局为正科级财政全额拨款行政单位，</w:t>
      </w:r>
      <w:r>
        <w:rPr>
          <w:rFonts w:hAnsi="仿宋_GB2312" w:cs="仿宋_GB2312"/>
          <w:sz w:val="30"/>
          <w:szCs w:val="30"/>
        </w:rPr>
        <w:t>20</w:t>
      </w:r>
      <w:r>
        <w:rPr>
          <w:rFonts w:hint="eastAsia" w:hAnsi="仿宋_GB2312" w:cs="仿宋_GB2312"/>
          <w:sz w:val="30"/>
          <w:szCs w:val="30"/>
        </w:rPr>
        <w:t>19年人员在职编制数348人，实际在职人员1248人，其中民警420人，干部职工23人，退役安置士官28人，政府雇员3人，辅警774人.全局共</w:t>
      </w:r>
      <w:r>
        <w:rPr>
          <w:rFonts w:hAnsi="仿宋_GB2312" w:cs="仿宋_GB2312"/>
          <w:sz w:val="30"/>
          <w:szCs w:val="30"/>
        </w:rPr>
        <w:t>35</w:t>
      </w:r>
      <w:r>
        <w:rPr>
          <w:rFonts w:hint="eastAsia" w:hAnsi="仿宋_GB2312" w:cs="仿宋_GB2312"/>
          <w:sz w:val="30"/>
          <w:szCs w:val="30"/>
        </w:rPr>
        <w:t>个科室所队，其中</w:t>
      </w:r>
      <w:r>
        <w:rPr>
          <w:rFonts w:hAnsi="仿宋_GB2312" w:cs="仿宋_GB2312"/>
          <w:sz w:val="30"/>
          <w:szCs w:val="30"/>
        </w:rPr>
        <w:t>5</w:t>
      </w:r>
      <w:r>
        <w:rPr>
          <w:rFonts w:hint="eastAsia" w:hAnsi="仿宋_GB2312" w:cs="仿宋_GB2312"/>
          <w:sz w:val="30"/>
          <w:szCs w:val="30"/>
        </w:rPr>
        <w:t>个科室（办公室、政工室、警保室、督察及纪检组、警卫科），</w:t>
      </w:r>
      <w:r>
        <w:rPr>
          <w:rFonts w:hAnsi="仿宋_GB2312" w:cs="仿宋_GB2312"/>
          <w:sz w:val="30"/>
          <w:szCs w:val="30"/>
        </w:rPr>
        <w:t>12</w:t>
      </w:r>
      <w:r>
        <w:rPr>
          <w:rFonts w:hint="eastAsia" w:hAnsi="仿宋_GB2312" w:cs="仿宋_GB2312"/>
          <w:sz w:val="30"/>
          <w:szCs w:val="30"/>
        </w:rPr>
        <w:t>个大队（法制、巡特警、刑侦、治安、经侦、国保、禁毒、交警、内保、网络安全保卫、人口与出入境、食药环），</w:t>
      </w:r>
      <w:r>
        <w:rPr>
          <w:rFonts w:hAnsi="仿宋_GB2312" w:cs="仿宋_GB2312"/>
          <w:sz w:val="30"/>
          <w:szCs w:val="30"/>
        </w:rPr>
        <w:t>16</w:t>
      </w:r>
      <w:r>
        <w:rPr>
          <w:rFonts w:hint="eastAsia" w:hAnsi="仿宋_GB2312" w:cs="仿宋_GB2312"/>
          <w:sz w:val="30"/>
          <w:szCs w:val="30"/>
        </w:rPr>
        <w:t>个行政派出所（高塘、乌山、黄金、白箬、星城、桥驿、丁字、铜官、茶亭、月亮岛、格塘、靖港、乔口、新康、同兴、水上），</w:t>
      </w:r>
      <w:r>
        <w:rPr>
          <w:rFonts w:hAnsi="仿宋_GB2312" w:cs="仿宋_GB2312"/>
          <w:sz w:val="30"/>
          <w:szCs w:val="30"/>
        </w:rPr>
        <w:t>1</w:t>
      </w:r>
      <w:r>
        <w:rPr>
          <w:rFonts w:hint="eastAsia" w:hAnsi="仿宋_GB2312" w:cs="仿宋_GB2312"/>
          <w:sz w:val="30"/>
          <w:szCs w:val="30"/>
        </w:rPr>
        <w:t>个看守所，</w:t>
      </w:r>
      <w:r>
        <w:rPr>
          <w:rFonts w:hAnsi="仿宋_GB2312" w:cs="仿宋_GB2312"/>
          <w:sz w:val="30"/>
          <w:szCs w:val="30"/>
        </w:rPr>
        <w:t>1</w:t>
      </w:r>
      <w:r>
        <w:rPr>
          <w:rFonts w:hint="eastAsia" w:hAnsi="仿宋_GB2312" w:cs="仿宋_GB2312"/>
          <w:sz w:val="30"/>
          <w:szCs w:val="30"/>
        </w:rPr>
        <w:t>个治安拘留所。</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二、</w:t>
      </w:r>
      <w:r>
        <w:rPr>
          <w:rFonts w:ascii="Times New Roman" w:hAnsi="Times New Roman" w:eastAsia="黑体"/>
          <w:sz w:val="30"/>
        </w:rPr>
        <w:t>部门（单位）预算管理及执行情况</w:t>
      </w:r>
    </w:p>
    <w:p>
      <w:pPr>
        <w:ind w:firstLine="600" w:firstLineChars="200"/>
        <w:rPr>
          <w:rFonts w:hAnsi="仿宋_GB2312" w:cs="仿宋_GB2312"/>
          <w:sz w:val="30"/>
          <w:szCs w:val="30"/>
        </w:rPr>
      </w:pPr>
      <w:r>
        <w:rPr>
          <w:rFonts w:hint="eastAsia" w:hAnsi="仿宋_GB2312" w:cs="仿宋_GB2312"/>
          <w:sz w:val="30"/>
          <w:szCs w:val="30"/>
        </w:rPr>
        <w:t>分局制定了《望城区公安局2019年度财务管理实施办法》和《望城区公安局专项资金管理办法》，对了专项资金的审批程序、拨付和使用、监督检查及绩效评价等作出了详细规定，专项资金的使用均按相关的规定执行，管理规范：</w:t>
      </w:r>
      <w:r>
        <w:rPr>
          <w:rFonts w:hint="eastAsia" w:hAnsi="仿宋_GB2312" w:cs="仿宋_GB2312"/>
        </w:rPr>
        <w:t>1.</w:t>
      </w:r>
      <w:r>
        <w:rPr>
          <w:rFonts w:hint="eastAsia" w:hAnsi="仿宋_GB2312" w:cs="仿宋_GB2312"/>
          <w:sz w:val="30"/>
          <w:szCs w:val="30"/>
        </w:rPr>
        <w:t>建立健全财务管理制度和内部控制制度，实施预算绩效管理，对财务活动进行管理和监督；2.科学合理编制部门预算，严格预算执行，完整、准确、及时编制决算，统筹安排、节约使用各项资金；3.定期编制财务报告，如实反映公安机关预算执行和财务收支等情况，进行财务活动分析；4.对下级公安机关及所属单位的财务活动进行指导、监督和检查。</w:t>
      </w:r>
    </w:p>
    <w:p>
      <w:pPr>
        <w:numPr>
          <w:ilvl w:val="0"/>
          <w:numId w:val="1"/>
        </w:numPr>
        <w:ind w:firstLine="600" w:firstLineChars="200"/>
        <w:rPr>
          <w:rFonts w:ascii="Times New Roman" w:hAnsi="Times New Roman" w:eastAsia="黑体"/>
          <w:sz w:val="30"/>
        </w:rPr>
      </w:pPr>
      <w:r>
        <w:rPr>
          <w:rFonts w:ascii="Times New Roman" w:hAnsi="Times New Roman" w:eastAsia="黑体"/>
          <w:sz w:val="30"/>
        </w:rPr>
        <w:t>部门（单位）</w:t>
      </w:r>
      <w:r>
        <w:rPr>
          <w:rFonts w:hint="eastAsia" w:ascii="Times New Roman" w:hAnsi="Times New Roman" w:eastAsia="黑体"/>
          <w:sz w:val="30"/>
        </w:rPr>
        <w:t>资产管理情况</w:t>
      </w:r>
    </w:p>
    <w:p>
      <w:pPr>
        <w:ind w:firstLine="600" w:firstLineChars="200"/>
        <w:rPr>
          <w:rFonts w:hAnsi="仿宋_GB2312" w:cs="仿宋_GB2312"/>
          <w:sz w:val="30"/>
          <w:szCs w:val="30"/>
        </w:rPr>
      </w:pPr>
      <w:r>
        <w:rPr>
          <w:rFonts w:hint="eastAsia" w:hAnsi="仿宋_GB2312" w:cs="仿宋_GB2312"/>
          <w:sz w:val="30"/>
          <w:szCs w:val="30"/>
        </w:rPr>
        <w:t>分局加强资产管理，合理配置、有效利用、规范处置资产，防止国有资产流失。制定了全局资产管理规定，固定资产的增加、减少、划拨、转让、移交均按规定执行。2018年底全面开展了全局资产清查，经过清查盘点、中介机构审核归类等流程，出具了资产清查专项报告。</w:t>
      </w:r>
    </w:p>
    <w:p>
      <w:pPr>
        <w:numPr>
          <w:ilvl w:val="0"/>
          <w:numId w:val="1"/>
        </w:numPr>
        <w:spacing w:line="620" w:lineRule="exact"/>
        <w:ind w:firstLine="600" w:firstLineChars="200"/>
        <w:rPr>
          <w:rFonts w:ascii="Times New Roman" w:hAnsi="Times New Roman" w:eastAsia="黑体"/>
          <w:sz w:val="30"/>
        </w:rPr>
      </w:pPr>
      <w:r>
        <w:rPr>
          <w:rFonts w:ascii="Times New Roman" w:hAnsi="Times New Roman" w:eastAsia="黑体"/>
          <w:sz w:val="30"/>
        </w:rPr>
        <w:t>部门（单位）整体支出绩效目标及开展情况</w:t>
      </w:r>
    </w:p>
    <w:p>
      <w:pPr>
        <w:ind w:firstLine="1200" w:firstLineChars="400"/>
        <w:rPr>
          <w:rFonts w:hAnsi="仿宋_GB2312" w:cs="仿宋_GB2312"/>
          <w:sz w:val="30"/>
          <w:szCs w:val="30"/>
        </w:rPr>
      </w:pPr>
      <w:r>
        <w:rPr>
          <w:rFonts w:hint="eastAsia" w:hAnsi="仿宋_GB2312" w:cs="仿宋_GB2312"/>
          <w:sz w:val="30"/>
          <w:szCs w:val="30"/>
        </w:rPr>
        <w:t>2019年分局总体目标是：“以习近平新时代中国特色社会主义思想为指引，围绕“努力建设更加美丽强盛幸福的名望之城建设”的工作目标，突出党建引领政治建警，以人民群众满意为最高标准推动公安工作迈向更高水平。具体是：围绕“一条主线”，强化“两大支撑”，推进“三个同步”，即：紧紧围绕贯彻落实十九大精神这条主线，强化现代警务机制和大数据支撑，推进队伍建设、业务工作、规范执法同步发展，打造“共建、共治、共享”的社会治理新格局，推动望城公安工作转型升级、提质增效、走在前列。2019年分局坚持以习近平新时代中国特色社会主义思想为指引，全面落实省厅“五大硬仗”“五项保障”，市局“一服务三引领”决策部署，紧紧围绕“美丽强盛幸福的名望之城”建设，以做好新中国成立70周年大庆安保维稳工作为主线，大抓基层基础、深化改革创新、推进科技兴警，有效增强了基层实力、激发了基层活力，提升了基层战斗力。</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、部门（单位）整体支出绩效实现情况</w:t>
      </w:r>
    </w:p>
    <w:p>
      <w:pPr>
        <w:ind w:firstLine="600" w:firstLineChars="200"/>
        <w:rPr>
          <w:rFonts w:hAnsi="仿宋_GB2312" w:cs="仿宋_GB2312"/>
          <w:sz w:val="30"/>
          <w:szCs w:val="30"/>
        </w:rPr>
      </w:pPr>
      <w:r>
        <w:rPr>
          <w:rFonts w:ascii="Times New Roman" w:hAnsi="Times New Roman"/>
          <w:sz w:val="30"/>
        </w:rPr>
        <w:t>（一）履职完成情况：</w:t>
      </w:r>
      <w:r>
        <w:rPr>
          <w:rFonts w:hint="eastAsia" w:hAnsi="仿宋_GB2312" w:cs="仿宋_GB2312"/>
          <w:sz w:val="30"/>
          <w:szCs w:val="30"/>
        </w:rPr>
        <w:t>2019年，实现了“一稳两低三零”工作目标：成功打赢了新中国</w:t>
      </w:r>
      <w:r>
        <w:rPr>
          <w:rFonts w:hint="eastAsia" w:hAnsi="仿宋_GB2312" w:cs="仿宋_GB2312"/>
          <w:sz w:val="30"/>
          <w:szCs w:val="30"/>
          <w:lang w:eastAsia="zh-CN"/>
        </w:rPr>
        <w:t>成立</w:t>
      </w:r>
      <w:r>
        <w:rPr>
          <w:rFonts w:hint="eastAsia" w:hAnsi="仿宋_GB2312" w:cs="仿宋_GB2312"/>
          <w:sz w:val="30"/>
          <w:szCs w:val="30"/>
        </w:rPr>
        <w:t>70周年大庆安保攻坚战，确保了全面稳定；全区刑事发案数、万人发案数均持续保持全市最低；全年没有发生较大交通、消防事故和造成恶劣影响的案事件。群众安全感和满意度调查均居全市前列，形成了“发案洼地、治安高地”的品牌效应，实现了发案少、秩序好、社会稳定、群众满意的工作目标。</w:t>
      </w:r>
    </w:p>
    <w:p>
      <w:pPr>
        <w:spacing w:line="600" w:lineRule="exact"/>
        <w:ind w:firstLine="600" w:firstLineChars="200"/>
      </w:pPr>
      <w:r>
        <w:rPr>
          <w:rFonts w:ascii="Times New Roman" w:hAnsi="Times New Roman"/>
          <w:sz w:val="30"/>
        </w:rPr>
        <w:t>（二）履职效果情况：</w:t>
      </w:r>
      <w:r>
        <w:rPr>
          <w:rFonts w:hint="eastAsia" w:ascii="Times New Roman" w:hAnsi="Times New Roman"/>
          <w:sz w:val="30"/>
        </w:rPr>
        <w:t>一、以政治安全为核心，确保了大局稳定。二、以扫黑除恶为重点，强化了打击效能。三、以科技信息为支撑，提升了防范等级。四、以经济发展为中心，优化了营商环境。五、以公共安全为底线，完善了社会管理。六、以夯实基础为根本，强化了警务保障。七、以公平正义为追求，巩固了规范执法。八、以深化改革为驱动，提升了警务效能。</w:t>
      </w:r>
    </w:p>
    <w:p>
      <w:pPr>
        <w:spacing w:line="600" w:lineRule="exact"/>
        <w:ind w:firstLine="600" w:firstLineChars="200"/>
        <w:rPr>
          <w:rFonts w:ascii="Times New Roman" w:hAnsi="Times New Roman"/>
          <w:sz w:val="30"/>
        </w:rPr>
      </w:pPr>
      <w:r>
        <w:rPr>
          <w:rFonts w:ascii="Times New Roman" w:hAnsi="Times New Roman"/>
          <w:sz w:val="30"/>
        </w:rPr>
        <w:t>（三）社会满意度情况</w:t>
      </w:r>
      <w:r>
        <w:rPr>
          <w:rFonts w:hint="eastAsia" w:ascii="Times New Roman" w:hAnsi="Times New Roman"/>
          <w:sz w:val="30"/>
        </w:rPr>
        <w:t>：2019年综治民调得分90.69分，全市排第二。</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、部门（单位）整体支出绩效中存在问题及改进措施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600" w:firstLineChars="200"/>
        <w:rPr>
          <w:rFonts w:ascii="Times New Roman" w:hAnsi="Times New Roman"/>
          <w:sz w:val="30"/>
        </w:rPr>
      </w:pPr>
      <w:r>
        <w:rPr>
          <w:rFonts w:hint="eastAsia" w:ascii="Times New Roman" w:hAnsi="Times New Roman"/>
          <w:sz w:val="30"/>
        </w:rPr>
        <w:t>加强绩效评价信息化建设。</w:t>
      </w:r>
    </w:p>
    <w:p>
      <w:pPr>
        <w:spacing w:line="600" w:lineRule="exact"/>
        <w:ind w:firstLine="600" w:firstLineChars="200"/>
        <w:rPr>
          <w:rFonts w:ascii="Times New Roman" w:hAnsi="Times New Roman"/>
          <w:sz w:val="30"/>
        </w:rPr>
      </w:pPr>
      <w:r>
        <w:rPr>
          <w:rFonts w:ascii="Times New Roman" w:hAnsi="Times New Roman" w:eastAsia="黑体"/>
          <w:sz w:val="30"/>
        </w:rPr>
        <w:t>七、其它需要说明的情况</w:t>
      </w:r>
    </w:p>
    <w:p>
      <w:pPr>
        <w:adjustRightInd w:val="0"/>
        <w:snapToGrid w:val="0"/>
        <w:spacing w:line="600" w:lineRule="exact"/>
        <w:jc w:val="left"/>
        <w:rPr>
          <w:rFonts w:ascii="Times New Roman" w:hAnsi="Times New Roman" w:eastAsia="方正小标宋简体"/>
          <w:bCs/>
          <w:color w:val="000000"/>
          <w:kern w:val="0"/>
          <w:sz w:val="36"/>
          <w:szCs w:val="36"/>
        </w:rPr>
      </w:pPr>
      <w:r>
        <w:rPr>
          <w:rFonts w:ascii="Times New Roman" w:hAnsi="Times New Roman"/>
          <w:szCs w:val="21"/>
        </w:rPr>
        <w:br w:type="page"/>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9B214F"/>
    <w:multiLevelType w:val="singleLevel"/>
    <w:tmpl w:val="E89B21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M3YTlhMTkzNTU0OWNmMmJmNDEyMGYxMjBmZjY4ODUifQ=="/>
  </w:docVars>
  <w:rsids>
    <w:rsidRoot w:val="00622F7D"/>
    <w:rsid w:val="0055439D"/>
    <w:rsid w:val="00622F7D"/>
    <w:rsid w:val="0C3C00CE"/>
    <w:rsid w:val="10461878"/>
    <w:rsid w:val="12203C2A"/>
    <w:rsid w:val="15640C66"/>
    <w:rsid w:val="16AD045B"/>
    <w:rsid w:val="230751CF"/>
    <w:rsid w:val="244274C3"/>
    <w:rsid w:val="352D01DC"/>
    <w:rsid w:val="4635376A"/>
    <w:rsid w:val="4A286999"/>
    <w:rsid w:val="61D52FFD"/>
    <w:rsid w:val="6315074C"/>
    <w:rsid w:val="66937B1F"/>
    <w:rsid w:val="6FA57B4D"/>
    <w:rsid w:val="74C16214"/>
    <w:rsid w:val="7739097E"/>
    <w:rsid w:val="7DFD1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spacing w:line="240" w:lineRule="atLeast"/>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uiPriority w:val="0"/>
    <w:rPr>
      <w:rFonts w:ascii="仿宋_GB2312" w:hAnsi="Calibri" w:eastAsia="仿宋_GB2312"/>
      <w:kern w:val="2"/>
      <w:sz w:val="18"/>
      <w:szCs w:val="18"/>
    </w:rPr>
  </w:style>
  <w:style w:type="character" w:customStyle="1" w:styleId="7">
    <w:name w:val="页脚 Char"/>
    <w:basedOn w:val="5"/>
    <w:link w:val="2"/>
    <w:uiPriority w:val="0"/>
    <w:rPr>
      <w:rFonts w:ascii="仿宋_GB2312" w:hAnsi="Calibri"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3612</Words>
  <Characters>3872</Characters>
  <Lines>5</Lines>
  <Paragraphs>8</Paragraphs>
  <TotalTime>7</TotalTime>
  <ScaleCrop>false</ScaleCrop>
  <LinksUpToDate>false</LinksUpToDate>
  <CharactersWithSpaces>3901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姣^o^</cp:lastModifiedBy>
  <cp:lastPrinted>2020-04-09T11:48:00Z</cp:lastPrinted>
  <dcterms:modified xsi:type="dcterms:W3CDTF">2022-12-01T06:03:00Z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25A7326BCCF447B8A4FEBA3BDC601E88</vt:lpwstr>
  </property>
</Properties>
</file>