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804" w:lineRule="atLeast"/>
        <w:ind w:left="0" w:right="0" w:firstLine="0"/>
        <w:jc w:val="center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42"/>
          <w:szCs w:val="42"/>
        </w:rPr>
        <w:t>长沙市审计局审计结果公告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  <w:t>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804" w:lineRule="atLeast"/>
        <w:ind w:left="0" w:right="0" w:firstLine="0"/>
        <w:jc w:val="center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4"/>
          <w:szCs w:val="34"/>
        </w:rPr>
      </w:pPr>
      <w:r>
        <w:rPr>
          <w:rFonts w:ascii="楷体_GB2312" w:hAnsi="微软雅黑" w:eastAsia="楷体_GB2312" w:cs="楷体_GB2312"/>
          <w:i w:val="0"/>
          <w:iCs w:val="0"/>
          <w:caps w:val="0"/>
          <w:color w:val="333333"/>
          <w:spacing w:val="0"/>
          <w:sz w:val="34"/>
          <w:szCs w:val="34"/>
        </w:rPr>
        <w:t>2025年第</w:t>
      </w:r>
      <w:r>
        <w:rPr>
          <w:rFonts w:hint="eastAsia" w:ascii="楷体_GB2312" w:hAnsi="微软雅黑" w:eastAsia="楷体_GB2312" w:cs="楷体_GB2312"/>
          <w:i w:val="0"/>
          <w:iCs w:val="0"/>
          <w:caps w:val="0"/>
          <w:color w:val="333333"/>
          <w:spacing w:val="0"/>
          <w:sz w:val="34"/>
          <w:szCs w:val="34"/>
          <w:lang w:val="en-US" w:eastAsia="zh-CN"/>
        </w:rPr>
        <w:t>5</w:t>
      </w:r>
      <w:r>
        <w:rPr>
          <w:rFonts w:ascii="楷体_GB2312" w:hAnsi="微软雅黑" w:eastAsia="楷体_GB2312" w:cs="楷体_GB2312"/>
          <w:i w:val="0"/>
          <w:iCs w:val="0"/>
          <w:caps w:val="0"/>
          <w:color w:val="333333"/>
          <w:spacing w:val="0"/>
          <w:sz w:val="34"/>
          <w:szCs w:val="34"/>
        </w:rPr>
        <w:t>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4"/>
          <w:szCs w:val="34"/>
        </w:rPr>
        <w:t>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804" w:lineRule="atLeast"/>
        <w:ind w:left="0" w:right="0" w:firstLine="0"/>
        <w:jc w:val="center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4"/>
          <w:szCs w:val="34"/>
        </w:rPr>
      </w:pPr>
      <w:r>
        <w:rPr>
          <w:rFonts w:hint="eastAsia" w:ascii="楷体_GB2312" w:hAnsi="微软雅黑" w:eastAsia="楷体_GB2312" w:cs="楷体_GB2312"/>
          <w:i w:val="0"/>
          <w:iCs w:val="0"/>
          <w:caps w:val="0"/>
          <w:color w:val="333333"/>
          <w:spacing w:val="0"/>
          <w:sz w:val="34"/>
          <w:szCs w:val="34"/>
        </w:rPr>
        <w:t>(总第</w:t>
      </w:r>
      <w:r>
        <w:rPr>
          <w:rFonts w:hint="eastAsia" w:ascii="楷体_GB2312" w:hAnsi="微软雅黑" w:eastAsia="楷体_GB2312" w:cs="楷体_GB2312"/>
          <w:i w:val="0"/>
          <w:iCs w:val="0"/>
          <w:caps w:val="0"/>
          <w:color w:val="333333"/>
          <w:spacing w:val="0"/>
          <w:sz w:val="34"/>
          <w:szCs w:val="34"/>
          <w:lang w:val="en-US" w:eastAsia="zh-CN"/>
        </w:rPr>
        <w:t>152</w:t>
      </w:r>
      <w:bookmarkStart w:id="0" w:name="_GoBack"/>
      <w:bookmarkEnd w:id="0"/>
      <w:r>
        <w:rPr>
          <w:rFonts w:hint="eastAsia" w:ascii="楷体_GB2312" w:hAnsi="微软雅黑" w:eastAsia="楷体_GB2312" w:cs="楷体_GB2312"/>
          <w:i w:val="0"/>
          <w:iCs w:val="0"/>
          <w:caps w:val="0"/>
          <w:color w:val="333333"/>
          <w:spacing w:val="0"/>
          <w:sz w:val="34"/>
          <w:szCs w:val="34"/>
        </w:rPr>
        <w:t>号)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b w:val="0"/>
          <w:bCs/>
          <w:color w:val="000000"/>
          <w:spacing w:val="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 w:val="0"/>
          <w:bCs/>
          <w:color w:val="auto"/>
          <w:spacing w:val="-2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auto"/>
          <w:spacing w:val="-20"/>
          <w:sz w:val="44"/>
          <w:szCs w:val="44"/>
          <w:highlight w:val="none"/>
          <w:lang w:val="en-US" w:eastAsia="zh-CN"/>
        </w:rPr>
        <w:t>关于202</w:t>
      </w:r>
      <w:r>
        <w:rPr>
          <w:rFonts w:hint="eastAsia" w:ascii="Times New Roman" w:hAnsi="Times New Roman" w:eastAsia="方正小标宋_GBK" w:cs="Times New Roman"/>
          <w:b w:val="0"/>
          <w:bCs/>
          <w:color w:val="auto"/>
          <w:spacing w:val="-20"/>
          <w:sz w:val="44"/>
          <w:szCs w:val="44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spacing w:val="-20"/>
          <w:sz w:val="44"/>
          <w:szCs w:val="44"/>
          <w:highlight w:val="none"/>
        </w:rPr>
        <w:t>年度区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spacing w:val="-20"/>
          <w:sz w:val="44"/>
          <w:szCs w:val="44"/>
          <w:highlight w:val="none"/>
          <w:lang w:eastAsia="zh-CN"/>
        </w:rPr>
        <w:t>本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spacing w:val="-20"/>
          <w:sz w:val="44"/>
          <w:szCs w:val="44"/>
          <w:highlight w:val="none"/>
        </w:rPr>
        <w:t>级预算执行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spacing w:val="-20"/>
          <w:sz w:val="44"/>
          <w:szCs w:val="44"/>
          <w:highlight w:val="none"/>
          <w:lang w:eastAsia="zh-CN"/>
        </w:rPr>
        <w:t>、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spacing w:val="-20"/>
          <w:sz w:val="44"/>
          <w:szCs w:val="44"/>
          <w:highlight w:val="none"/>
          <w:lang w:val="en-US" w:eastAsia="zh-CN"/>
        </w:rPr>
        <w:t>决算草案编制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spacing w:val="-20"/>
          <w:sz w:val="44"/>
          <w:szCs w:val="44"/>
          <w:highlight w:val="none"/>
        </w:rPr>
        <w:t>及其他财政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spacing w:val="-20"/>
          <w:sz w:val="44"/>
          <w:szCs w:val="44"/>
          <w:highlight w:val="none"/>
          <w:lang w:eastAsia="zh-CN"/>
        </w:rPr>
        <w:t>收支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spacing w:val="-20"/>
          <w:sz w:val="44"/>
          <w:szCs w:val="44"/>
          <w:highlight w:val="none"/>
        </w:rPr>
        <w:t>审计</w:t>
      </w:r>
      <w:r>
        <w:rPr>
          <w:rFonts w:hint="default" w:ascii="Times New Roman" w:hAnsi="Times New Roman" w:eastAsia="方正小标宋_GBK" w:cs="Times New Roman"/>
          <w:color w:val="auto"/>
          <w:w w:val="90"/>
          <w:sz w:val="44"/>
          <w:szCs w:val="44"/>
          <w:highlight w:val="none"/>
          <w:lang w:val="en-US" w:eastAsia="zh-CN"/>
        </w:rPr>
        <w:t>查出问题整改情况的报告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pacing w:val="11"/>
          <w:sz w:val="32"/>
          <w:szCs w:val="32"/>
        </w:rPr>
        <w:t>—202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pacing w:val="11"/>
          <w:sz w:val="32"/>
          <w:szCs w:val="32"/>
          <w:lang w:val="en-US" w:eastAsia="zh-CN"/>
        </w:rPr>
        <w:t>5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pacing w:val="11"/>
          <w:sz w:val="32"/>
          <w:szCs w:val="32"/>
        </w:rPr>
        <w:t>年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pacing w:val="11"/>
          <w:sz w:val="32"/>
          <w:szCs w:val="32"/>
          <w:lang w:val="en-US" w:eastAsia="zh-CN"/>
        </w:rPr>
        <w:t>12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pacing w:val="11"/>
          <w:sz w:val="32"/>
          <w:szCs w:val="32"/>
        </w:rPr>
        <w:t>月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pacing w:val="11"/>
          <w:sz w:val="32"/>
          <w:szCs w:val="32"/>
          <w:lang w:val="en-US" w:eastAsia="zh-CN"/>
        </w:rPr>
        <w:t>24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pacing w:val="11"/>
          <w:sz w:val="32"/>
          <w:szCs w:val="32"/>
        </w:rPr>
        <w:t>日在长沙市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pacing w:val="11"/>
          <w:sz w:val="32"/>
          <w:szCs w:val="32"/>
          <w:lang w:eastAsia="zh-CN"/>
        </w:rPr>
        <w:t>望城区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pacing w:val="11"/>
          <w:sz w:val="32"/>
          <w:szCs w:val="32"/>
        </w:rPr>
        <w:t>第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pacing w:val="11"/>
          <w:sz w:val="32"/>
          <w:szCs w:val="32"/>
          <w:lang w:eastAsia="zh-CN"/>
        </w:rPr>
        <w:t>三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pacing w:val="11"/>
          <w:sz w:val="32"/>
          <w:szCs w:val="32"/>
        </w:rPr>
        <w:t>届人民代表大会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楷体_GB2312" w:hAnsi="楷体_GB2312" w:eastAsia="楷体_GB2312" w:cs="楷体_GB2312"/>
          <w:b w:val="0"/>
          <w:bCs w:val="0"/>
          <w:color w:val="000000"/>
          <w:spacing w:val="-7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pacing w:val="-7"/>
          <w:sz w:val="32"/>
          <w:szCs w:val="32"/>
        </w:rPr>
        <w:t>常务委员会第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pacing w:val="-7"/>
          <w:sz w:val="32"/>
          <w:szCs w:val="32"/>
          <w:lang w:val="en-US" w:eastAsia="zh-CN"/>
        </w:rPr>
        <w:t>三十五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pacing w:val="-7"/>
          <w:sz w:val="32"/>
          <w:szCs w:val="32"/>
        </w:rPr>
        <w:t>次会议上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562" w:firstLineChars="200"/>
        <w:jc w:val="both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主任、各位副主任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、各位委员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今年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10月，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区第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届人大常委会第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三十三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次会议审议了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《2024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年度区本级预算执行、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决算草案编制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及其他财政收支审计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工作报告》（以下简称“审计工作报告”），并就审计整改工作提出了具体要求。区人大财经委多次对整改工作进行了跟踪监督。区审计局对各单位的整改工作进行了督促和指导，现将有关情况汇报如下：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一、审计整改工作的部署落实情况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区委、区政府坚持以习近平新时代中国特色社会主义思想为指导，深入贯彻习近平总书记关于审计整改工作的重要指示批示精神，高度重视审计查出问题的整改工作。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各部门各单位认真落实整改主体责任，召开专题会议部署整改工作，建立整改台账，制定整改措施，明确完成时限，紧抓快办推动审计查出问题整改。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按照区委、区政府的工作部署，区委审计办、区审计局不断推进做深做实审计整改工作，将审计工作报告反映的问题及提出的建议全部纳入整改范围，按立行立改、分阶段整改、持续整改分类提出整改要求。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截至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日，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审计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工作报告反映的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139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个问题中，立行立改的问题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个，已全部整改，整改率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100%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；分阶段整改和持续整改的问题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个，均已采取有效措施，完成阶段性整改任务。通过深化审计成果运用，各部门已追回或上缴财政资金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226.63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万元，加快拨付或统筹盘活资金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1.12亿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元，审计后避免或挽回损失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783.35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万元，调整账务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277.42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万元，制定完善相关规章制度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项。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二、审计工作报告反映问题的具体整改情况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643" w:firstLineChars="200"/>
        <w:jc w:val="both"/>
        <w:textAlignment w:val="auto"/>
        <w:outlineLvl w:val="0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（一）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  <w:t>区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本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  <w:t>级预算执行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审计查出问题的整改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  <w:t>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3" w:firstLineChars="200"/>
        <w:jc w:val="both"/>
        <w:textAlignment w:val="auto"/>
        <w:outlineLvl w:val="1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1.预算编制方面的问题。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主管部门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一是进一步规范了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2026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年部门预算的编制和审核流程。二是梳理和调整了各类支出政策和项目后，对专项支出项目实行“大专项+小清单”统筹管理，结合上年度预算执行情况、审计结果、财政评审和绩效评价结果等，综合编制了专项预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3" w:firstLineChars="200"/>
        <w:jc w:val="both"/>
        <w:textAlignment w:val="auto"/>
        <w:outlineLvl w:val="1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2.收支预算执行方面的问题。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截至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日，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主管部门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已清理确认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115.14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万元非税收入，并与各单位对待查收入进行逐月核对清理、年底清空入库。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通过收回资金、促进拨付、统筹盘活等方式，已拨付上级转移支付资金</w:t>
      </w:r>
      <w:r>
        <w:rPr>
          <w:rFonts w:hint="eastAsia" w:eastAsia="仿宋_GB2312" w:cs="Times New Roman"/>
          <w:color w:val="000000"/>
          <w:spacing w:val="-20"/>
          <w:sz w:val="32"/>
          <w:szCs w:val="32"/>
          <w:highlight w:val="none"/>
          <w:lang w:val="en-US" w:eastAsia="zh-CN"/>
        </w:rPr>
        <w:t>8443.73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万元。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已收回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年度未分配、未使用完的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个专项支出共计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1321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万元；在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年度预算中结转了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个专项支出共计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806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万元，重新安排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个专项支出共计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597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万元。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四是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督促相关部门通过“一卡通”发放双季稻种植规模奖补。格塘水库灌区农业水价综合改革项目工程已完工，专项资金预计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2026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年上半年使用完毕。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3" w:firstLineChars="200"/>
        <w:jc w:val="both"/>
        <w:textAlignment w:val="auto"/>
        <w:outlineLvl w:val="1"/>
        <w:rPr>
          <w:rFonts w:hint="eastAsia" w:ascii="仿宋_GB2312" w:hAnsi="宋体" w:eastAsia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3.决算草案编制方面的问题。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主管部门</w:t>
      </w:r>
      <w:r>
        <w:rPr>
          <w:rFonts w:hint="eastAsia" w:ascii="仿宋_GB2312" w:hAnsi="宋体" w:eastAsia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将加强对部门决算编制的审核和培训。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3" w:firstLineChars="200"/>
        <w:jc w:val="both"/>
        <w:textAlignment w:val="auto"/>
        <w:outlineLvl w:val="1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4.财政管理方面的问题。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主管部门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出台了区本级罚没财物管理规程，并指导、监督3个职能部门健全了罚没物资管理制度。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督促了备案资料提交不充分的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12家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采购单位进行整改，调整了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万元以下政府采购项目的备案方式。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5.政府债务管理方面的问题。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主管部门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已督促建设单位加快推进项目结算和资金拨付。建设单位已拨付了自来水改造项目资金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20.54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万元，正在办理杆管线改造项目结算。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left="0" w:leftChars="0" w:firstLine="643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（二）部门预算执行审计查出问题的整改情况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1.预算编制及执行方面的问题。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主管部门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督促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单位进行了整改，加强了采购预算匹配性的实质性审核。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outlineLvl w:val="2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2.专项资金分配管理方面的问题。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主管部门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追回了多兑付的奖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励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资金，完善了建筑业财政奖补资金管理制度。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3" w:firstLineChars="200"/>
        <w:jc w:val="both"/>
        <w:textAlignment w:val="auto"/>
        <w:rPr>
          <w:rFonts w:hint="eastAsia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3.政府采购方面的问题。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主管部门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eastAsia="zh-CN"/>
        </w:rPr>
        <w:t>已出台公务机票购买管理制度，明确了公务机票购买标准、范围和购票渠道。物资管理不规范的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部门已修订内控制度，指定专人管理日常物资。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4.财政管理方面的问题。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未落实岗位分离制度的单位已调整相关人员岗位，并明确单位临聘人员负责日常辅助性事务。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600" w:lineRule="exact"/>
        <w:ind w:left="0" w:leftChars="0" w:right="0" w:rightChars="0" w:firstLine="643" w:firstLineChars="200"/>
        <w:jc w:val="both"/>
        <w:textAlignment w:val="auto"/>
        <w:outlineLvl w:val="3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（三）专项调查审计查出问题的整改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  <w:t>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0"/>
          <w:sz w:val="32"/>
          <w:szCs w:val="32"/>
          <w:highlight w:val="none"/>
          <w:lang w:val="en-US" w:eastAsia="zh-CN"/>
        </w:rPr>
        <w:t>建设管理方面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的问题。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建设单位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审计期间已督促施工单位购买了建筑工程一切险，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kern w:val="2"/>
          <w:sz w:val="32"/>
          <w:szCs w:val="32"/>
          <w:highlight w:val="none"/>
          <w:lang w:val="en-US" w:eastAsia="zh-CN" w:bidi="ar-SA"/>
        </w:rPr>
        <w:t>对现场安全护栏进行了全封闭，按设计要求在管道端头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kern w:val="2"/>
          <w:sz w:val="32"/>
          <w:szCs w:val="32"/>
          <w:highlight w:val="none"/>
          <w:lang w:val="en-US" w:eastAsia="zh-CN" w:bidi="ar-SA"/>
        </w:rPr>
        <w:t>米范围内重新回填了机制砂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将按照咨询单位实际驻场时间结算咨询服务费。同时，召开了专题会议，要求后续项目合理安排咨询单位进场时间。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2"/>
          <w:sz w:val="32"/>
          <w:szCs w:val="32"/>
          <w:highlight w:val="none"/>
          <w:lang w:val="en-US" w:eastAsia="zh-CN" w:bidi="ar-SA"/>
        </w:rPr>
        <w:t>三是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kern w:val="2"/>
          <w:sz w:val="32"/>
          <w:szCs w:val="32"/>
          <w:highlight w:val="none"/>
          <w:lang w:val="en-US" w:eastAsia="zh-CN" w:bidi="ar-SA"/>
        </w:rPr>
        <w:t>已搭建信息化管理平台，加强了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施工许可证办理内部联动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kern w:val="2"/>
          <w:sz w:val="32"/>
          <w:szCs w:val="32"/>
          <w:highlight w:val="none"/>
          <w:lang w:val="en-US" w:eastAsia="zh-CN" w:bidi="ar-SA"/>
        </w:rPr>
        <w:t>和信息互通。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32"/>
          <w:szCs w:val="32"/>
          <w:highlight w:val="none"/>
          <w:lang w:val="en-US" w:eastAsia="zh-CN"/>
        </w:rPr>
        <w:t>施工质量管理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方面的问题。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建设单位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u w:val="none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u w:val="none"/>
          <w:lang w:val="en-US" w:eastAsia="zh-CN"/>
        </w:rPr>
        <w:t>已将监理日志作为质量管理资料纳入项目管理系统；同时对监理单位进行了考核扣分。</w: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olor w:val="auto"/>
          <w:kern w:val="2"/>
          <w:sz w:val="32"/>
          <w:szCs w:val="32"/>
          <w:highlight w:val="none"/>
          <w:lang w:val="en-US" w:eastAsia="zh-CN" w:bidi="ar-SA"/>
        </w:rPr>
        <w:t>委托第三方公司，对C站供能管网的全部管道进行了严密性试验，试验结果合格。管道供应商延长了直埋保温管的质保期。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32"/>
          <w:szCs w:val="32"/>
          <w:highlight w:val="none"/>
          <w:lang w:val="en-US" w:eastAsia="zh-CN"/>
        </w:rPr>
        <w:t>3.标后管理</w: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方面的问题。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建设单位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建立了常态化检查机制，定期核查集团项目变更资料。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约谈了设计单位，同时对B站项目所有设计变更进行了梳理，梳理结果纳入对设计单位的履职考核。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组织设计人员和施工现场技术人员开展了业务培训和交流，加强设计单位对项目资料的把关。同时，将在设计服务费结算时对设计单位进行服务质量考核。</w: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四是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对监理单位、施工单位关键岗位人员缺勤行为进行了罚款，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不定期对人员履约情况进行了专项检查。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4.资金管理方面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的问题。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建设单位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  <w:t>召开专题会议向施工单位通报了农民工工资专户使用不规范的问题，要求严格按规定使用专户。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600" w:lineRule="exact"/>
        <w:ind w:left="0" w:leftChars="0" w:right="0" w:rightChars="0" w:firstLine="643" w:firstLineChars="200"/>
        <w:jc w:val="both"/>
        <w:textAlignment w:val="auto"/>
        <w:outlineLvl w:val="3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（四）政府投资审计查出问题的整改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  <w:t>情况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评审工作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0"/>
          <w:sz w:val="32"/>
          <w:szCs w:val="32"/>
          <w:highlight w:val="none"/>
          <w:lang w:val="en-US" w:eastAsia="zh-CN"/>
        </w:rPr>
        <w:t>方面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的问题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两个财评中心召开了审计整改专题会议，制定了整改措施表，开展了业务培训，明确加强内部管理及现场踏勘，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严控变更审批流程，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加大审核力度；完善了拆除工程涉及主材利旧的评审确认机制；同时，督促建设单位对相关单位及项目管理人员进行了约谈和处罚。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各建设单位已按审计意见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核准了工程价款，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核减或扣回了工程结算款，通过问题通报、业务培训、完善考核、履职讲评等方式，加强了现场管理，约谈了施工单位、监理单位、造价咨询单位等相关负责人，按制度对相关单位或人员进行了处理处罚。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建设单位管理方面的问题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一是对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超额支付工程款的问题。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建设单位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  <w:t>追回了部分工程款，并明确剩余</w:t>
      </w:r>
      <w:r>
        <w:rPr>
          <w:rFonts w:hint="eastAsia" w:eastAsia="仿宋_GB2312" w:cs="Times New Roman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工程款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  <w:t>从施工单位负责的其他</w:t>
      </w:r>
      <w:r>
        <w:rPr>
          <w:rFonts w:hint="eastAsia" w:eastAsia="仿宋_GB2312" w:cs="Times New Roman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29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  <w:t>个政府投资工程项目中抵扣。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二是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  <w:t>对审计指出问题进行了核查，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召开专题会议明确要求合同签订严格遵循招标文件的实质性要求。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已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督促施工单位按设计图纸施工，并重新出具动力触探试验报告，加强质保期的维护管理工作。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四是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约谈了相关施工单位、监理单位，对项目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相关单位和人员进行了处罚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批评教育。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3.其他方面的问题。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highlight w:val="none"/>
          <w:lang w:val="en-US" w:eastAsia="zh-CN"/>
        </w:rPr>
        <w:t>财评中心已发函督促相关建设单位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严格按规定落实基本建设程序，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highlight w:val="none"/>
          <w:lang w:val="en-US" w:eastAsia="zh-CN"/>
        </w:rPr>
        <w:t>加强项目现场土方利用和管理。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同时，加强了施工过程与许可合规性联动核查，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建立了施工组织设计动态比对机制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对论证不充分、签证不完善的情况将进行责任倒查。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下一步，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针对未完全整改到位的问题，我们将持续加大力度，督促有关单位抓好后续整改工作，继续</w:t>
      </w:r>
      <w:r>
        <w:rPr>
          <w:rFonts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深化人大监督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与</w:t>
      </w:r>
      <w:r>
        <w:rPr>
          <w:rFonts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审计监督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的</w:t>
      </w:r>
      <w:r>
        <w:rPr>
          <w:rFonts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贯通协同，进一步提升审计整改合力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。</w:t>
      </w:r>
    </w:p>
    <w:p>
      <w:pPr>
        <w:pStyle w:val="7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2098" w:right="1474" w:bottom="1417" w:left="1587" w:header="851" w:footer="113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1ZDZjZWE4NTEyMGNhNDI5MmY2ZjQ3NmVkNmI1OTkifQ=="/>
  </w:docVars>
  <w:rsids>
    <w:rsidRoot w:val="00000000"/>
    <w:rsid w:val="00A87F74"/>
    <w:rsid w:val="00D17001"/>
    <w:rsid w:val="01C0309B"/>
    <w:rsid w:val="01DA2DE2"/>
    <w:rsid w:val="023E7B7D"/>
    <w:rsid w:val="02B96468"/>
    <w:rsid w:val="02F079B0"/>
    <w:rsid w:val="033632EF"/>
    <w:rsid w:val="035937A7"/>
    <w:rsid w:val="035E0DBD"/>
    <w:rsid w:val="039075C9"/>
    <w:rsid w:val="041D6201"/>
    <w:rsid w:val="05685C0F"/>
    <w:rsid w:val="05DB3E17"/>
    <w:rsid w:val="061E3500"/>
    <w:rsid w:val="063B2989"/>
    <w:rsid w:val="0652416E"/>
    <w:rsid w:val="06AD202D"/>
    <w:rsid w:val="06AF3420"/>
    <w:rsid w:val="06B93462"/>
    <w:rsid w:val="073E518E"/>
    <w:rsid w:val="076F2044"/>
    <w:rsid w:val="07E76352"/>
    <w:rsid w:val="07FE5769"/>
    <w:rsid w:val="08453A5E"/>
    <w:rsid w:val="084C5923"/>
    <w:rsid w:val="084E1401"/>
    <w:rsid w:val="085207C5"/>
    <w:rsid w:val="0858402D"/>
    <w:rsid w:val="08623DD4"/>
    <w:rsid w:val="0932487E"/>
    <w:rsid w:val="093323A4"/>
    <w:rsid w:val="095F3199"/>
    <w:rsid w:val="096864F2"/>
    <w:rsid w:val="0A300910"/>
    <w:rsid w:val="0A80786B"/>
    <w:rsid w:val="0AE33EF7"/>
    <w:rsid w:val="0B300371"/>
    <w:rsid w:val="0BE9107E"/>
    <w:rsid w:val="0CFD0D7A"/>
    <w:rsid w:val="0CFE0D0A"/>
    <w:rsid w:val="0D0C3638"/>
    <w:rsid w:val="0D2C5A88"/>
    <w:rsid w:val="0DA65C5B"/>
    <w:rsid w:val="0DE46363"/>
    <w:rsid w:val="0E1F739B"/>
    <w:rsid w:val="0E2C59C2"/>
    <w:rsid w:val="0E8B17CC"/>
    <w:rsid w:val="0F4075C9"/>
    <w:rsid w:val="0F7D1849"/>
    <w:rsid w:val="0F9C1CFE"/>
    <w:rsid w:val="0FC95525"/>
    <w:rsid w:val="100C780A"/>
    <w:rsid w:val="11851C0B"/>
    <w:rsid w:val="11A338B4"/>
    <w:rsid w:val="1239229F"/>
    <w:rsid w:val="12B05320"/>
    <w:rsid w:val="12D31871"/>
    <w:rsid w:val="13392AF5"/>
    <w:rsid w:val="13E17F87"/>
    <w:rsid w:val="14C8253B"/>
    <w:rsid w:val="14DF72CD"/>
    <w:rsid w:val="1537146E"/>
    <w:rsid w:val="154A031B"/>
    <w:rsid w:val="159C710D"/>
    <w:rsid w:val="168F7AF1"/>
    <w:rsid w:val="16E27238"/>
    <w:rsid w:val="17286CD0"/>
    <w:rsid w:val="177C13BA"/>
    <w:rsid w:val="17BA1E1D"/>
    <w:rsid w:val="17C61088"/>
    <w:rsid w:val="185508FC"/>
    <w:rsid w:val="18B51DF5"/>
    <w:rsid w:val="18BD4DB4"/>
    <w:rsid w:val="193C3618"/>
    <w:rsid w:val="19451BCD"/>
    <w:rsid w:val="19743B80"/>
    <w:rsid w:val="19D06B96"/>
    <w:rsid w:val="1A9714F8"/>
    <w:rsid w:val="1AA56744"/>
    <w:rsid w:val="1B0939C0"/>
    <w:rsid w:val="1B7E1BA5"/>
    <w:rsid w:val="1BD04CC2"/>
    <w:rsid w:val="1C142FF6"/>
    <w:rsid w:val="1C526943"/>
    <w:rsid w:val="1D7F39B2"/>
    <w:rsid w:val="1E2007EB"/>
    <w:rsid w:val="1E3D4312"/>
    <w:rsid w:val="1E871401"/>
    <w:rsid w:val="2027280B"/>
    <w:rsid w:val="21D36256"/>
    <w:rsid w:val="21EA0762"/>
    <w:rsid w:val="224866AD"/>
    <w:rsid w:val="22F94AAB"/>
    <w:rsid w:val="231E70E0"/>
    <w:rsid w:val="232E0476"/>
    <w:rsid w:val="240544E1"/>
    <w:rsid w:val="245931AF"/>
    <w:rsid w:val="25CD039A"/>
    <w:rsid w:val="262E41C8"/>
    <w:rsid w:val="26547772"/>
    <w:rsid w:val="268A0F3A"/>
    <w:rsid w:val="270D202F"/>
    <w:rsid w:val="27173561"/>
    <w:rsid w:val="271D1270"/>
    <w:rsid w:val="272D5589"/>
    <w:rsid w:val="27352013"/>
    <w:rsid w:val="279E457C"/>
    <w:rsid w:val="28E62B38"/>
    <w:rsid w:val="295E3016"/>
    <w:rsid w:val="2A8B7E3A"/>
    <w:rsid w:val="2EE63ABB"/>
    <w:rsid w:val="2F2A7496"/>
    <w:rsid w:val="30004E27"/>
    <w:rsid w:val="30532B8F"/>
    <w:rsid w:val="31B1462B"/>
    <w:rsid w:val="31CF2D03"/>
    <w:rsid w:val="31DB0388"/>
    <w:rsid w:val="32890FFB"/>
    <w:rsid w:val="3330720D"/>
    <w:rsid w:val="340C4333"/>
    <w:rsid w:val="34DB40E6"/>
    <w:rsid w:val="350E3B42"/>
    <w:rsid w:val="35346A5E"/>
    <w:rsid w:val="355F79AB"/>
    <w:rsid w:val="356E4147"/>
    <w:rsid w:val="35E77612"/>
    <w:rsid w:val="36E96615"/>
    <w:rsid w:val="370E5EC2"/>
    <w:rsid w:val="37460AB5"/>
    <w:rsid w:val="3809538C"/>
    <w:rsid w:val="383A1D40"/>
    <w:rsid w:val="386C3059"/>
    <w:rsid w:val="3909021A"/>
    <w:rsid w:val="39555099"/>
    <w:rsid w:val="396363CD"/>
    <w:rsid w:val="39C852E9"/>
    <w:rsid w:val="3A272F7C"/>
    <w:rsid w:val="3A587E2C"/>
    <w:rsid w:val="3A606BEE"/>
    <w:rsid w:val="3AA806E7"/>
    <w:rsid w:val="3AF72105"/>
    <w:rsid w:val="3B2B784C"/>
    <w:rsid w:val="3B2F0498"/>
    <w:rsid w:val="3B663D76"/>
    <w:rsid w:val="3B75486C"/>
    <w:rsid w:val="3BB970C6"/>
    <w:rsid w:val="3BC30A7B"/>
    <w:rsid w:val="3C1D466B"/>
    <w:rsid w:val="3D1B5C23"/>
    <w:rsid w:val="3D6E02CF"/>
    <w:rsid w:val="3DC659CF"/>
    <w:rsid w:val="3EAB64A8"/>
    <w:rsid w:val="3ED51EF2"/>
    <w:rsid w:val="3F4D7CD4"/>
    <w:rsid w:val="3FB17696"/>
    <w:rsid w:val="4015127F"/>
    <w:rsid w:val="40C14850"/>
    <w:rsid w:val="40E93FAC"/>
    <w:rsid w:val="410127AD"/>
    <w:rsid w:val="411C3143"/>
    <w:rsid w:val="417708FD"/>
    <w:rsid w:val="41E73751"/>
    <w:rsid w:val="429B4945"/>
    <w:rsid w:val="43291B47"/>
    <w:rsid w:val="439714AA"/>
    <w:rsid w:val="43FC1E60"/>
    <w:rsid w:val="442F13DF"/>
    <w:rsid w:val="446401F5"/>
    <w:rsid w:val="44FA5EB5"/>
    <w:rsid w:val="45171059"/>
    <w:rsid w:val="4545107A"/>
    <w:rsid w:val="457D6F9E"/>
    <w:rsid w:val="46340F2E"/>
    <w:rsid w:val="4645313C"/>
    <w:rsid w:val="46625A9C"/>
    <w:rsid w:val="481B32A5"/>
    <w:rsid w:val="4822072C"/>
    <w:rsid w:val="48790E7B"/>
    <w:rsid w:val="48E00C6D"/>
    <w:rsid w:val="4A5274E1"/>
    <w:rsid w:val="4A6F2535"/>
    <w:rsid w:val="4A8F237E"/>
    <w:rsid w:val="4AA5119A"/>
    <w:rsid w:val="4B74176F"/>
    <w:rsid w:val="4C261319"/>
    <w:rsid w:val="4CBD1C7E"/>
    <w:rsid w:val="4CE76EAB"/>
    <w:rsid w:val="4D183358"/>
    <w:rsid w:val="4DF6560A"/>
    <w:rsid w:val="4E640AFC"/>
    <w:rsid w:val="4E843A53"/>
    <w:rsid w:val="4E8D6F76"/>
    <w:rsid w:val="4EDE110B"/>
    <w:rsid w:val="4EEB658F"/>
    <w:rsid w:val="4F021EE9"/>
    <w:rsid w:val="4F570514"/>
    <w:rsid w:val="4FF84D7B"/>
    <w:rsid w:val="50067498"/>
    <w:rsid w:val="50976AE9"/>
    <w:rsid w:val="51D84E64"/>
    <w:rsid w:val="51DD247A"/>
    <w:rsid w:val="522D314C"/>
    <w:rsid w:val="53431473"/>
    <w:rsid w:val="53714508"/>
    <w:rsid w:val="537A2677"/>
    <w:rsid w:val="539A47B3"/>
    <w:rsid w:val="53BC2C8F"/>
    <w:rsid w:val="54212AF2"/>
    <w:rsid w:val="54A30978"/>
    <w:rsid w:val="54BE47E5"/>
    <w:rsid w:val="5536081F"/>
    <w:rsid w:val="55AD1AB8"/>
    <w:rsid w:val="55E74F92"/>
    <w:rsid w:val="561C032E"/>
    <w:rsid w:val="562619C4"/>
    <w:rsid w:val="562A104E"/>
    <w:rsid w:val="565565D4"/>
    <w:rsid w:val="566F39B5"/>
    <w:rsid w:val="567747E3"/>
    <w:rsid w:val="56861332"/>
    <w:rsid w:val="568F7D21"/>
    <w:rsid w:val="56D025AE"/>
    <w:rsid w:val="574014E1"/>
    <w:rsid w:val="58465CC9"/>
    <w:rsid w:val="5901594F"/>
    <w:rsid w:val="59AA3003"/>
    <w:rsid w:val="59AF46F8"/>
    <w:rsid w:val="5AE64A95"/>
    <w:rsid w:val="5B082BCF"/>
    <w:rsid w:val="5B086F7B"/>
    <w:rsid w:val="5B6D486F"/>
    <w:rsid w:val="5BB22BCA"/>
    <w:rsid w:val="5BD71B75"/>
    <w:rsid w:val="5D59154F"/>
    <w:rsid w:val="5DB577BD"/>
    <w:rsid w:val="5DBB565C"/>
    <w:rsid w:val="5E38049A"/>
    <w:rsid w:val="5E7B3747"/>
    <w:rsid w:val="5EF7147F"/>
    <w:rsid w:val="5F053F00"/>
    <w:rsid w:val="5F4973A1"/>
    <w:rsid w:val="5FCFB160"/>
    <w:rsid w:val="601A5C6E"/>
    <w:rsid w:val="61261F7D"/>
    <w:rsid w:val="617A52BE"/>
    <w:rsid w:val="622F6D22"/>
    <w:rsid w:val="625A2991"/>
    <w:rsid w:val="63714BFB"/>
    <w:rsid w:val="64406FC4"/>
    <w:rsid w:val="64436AB5"/>
    <w:rsid w:val="644E3AD6"/>
    <w:rsid w:val="648F1CFA"/>
    <w:rsid w:val="64D11E7D"/>
    <w:rsid w:val="652C77A1"/>
    <w:rsid w:val="659C6324"/>
    <w:rsid w:val="65EF0BA9"/>
    <w:rsid w:val="662841B4"/>
    <w:rsid w:val="67F00D02"/>
    <w:rsid w:val="67FF0F45"/>
    <w:rsid w:val="68927B0C"/>
    <w:rsid w:val="68C6580E"/>
    <w:rsid w:val="68DB1AA6"/>
    <w:rsid w:val="69025FA5"/>
    <w:rsid w:val="69193F33"/>
    <w:rsid w:val="69313380"/>
    <w:rsid w:val="69827F32"/>
    <w:rsid w:val="69872FA0"/>
    <w:rsid w:val="69EB1888"/>
    <w:rsid w:val="6A164324"/>
    <w:rsid w:val="6A1D7350"/>
    <w:rsid w:val="6A2630E6"/>
    <w:rsid w:val="6B304402"/>
    <w:rsid w:val="6C1256EA"/>
    <w:rsid w:val="6C2F0A11"/>
    <w:rsid w:val="6C2F0D7C"/>
    <w:rsid w:val="6D19710A"/>
    <w:rsid w:val="6DB34AC8"/>
    <w:rsid w:val="6DB602F7"/>
    <w:rsid w:val="6DB86E8F"/>
    <w:rsid w:val="6EB365E5"/>
    <w:rsid w:val="6EF37212"/>
    <w:rsid w:val="6F3F03DA"/>
    <w:rsid w:val="6FB50225"/>
    <w:rsid w:val="6FC54822"/>
    <w:rsid w:val="700338A3"/>
    <w:rsid w:val="70081C44"/>
    <w:rsid w:val="701D0C4F"/>
    <w:rsid w:val="702D4EA5"/>
    <w:rsid w:val="702F7EED"/>
    <w:rsid w:val="70A66401"/>
    <w:rsid w:val="70C2599E"/>
    <w:rsid w:val="713325D5"/>
    <w:rsid w:val="71346B68"/>
    <w:rsid w:val="71E05943"/>
    <w:rsid w:val="723D230B"/>
    <w:rsid w:val="725A3947"/>
    <w:rsid w:val="726F6CC7"/>
    <w:rsid w:val="72D83238"/>
    <w:rsid w:val="735B593E"/>
    <w:rsid w:val="738B5308"/>
    <w:rsid w:val="73936D1A"/>
    <w:rsid w:val="739FB82D"/>
    <w:rsid w:val="74AC6E70"/>
    <w:rsid w:val="751A2A1F"/>
    <w:rsid w:val="75342D41"/>
    <w:rsid w:val="75875503"/>
    <w:rsid w:val="75980EF8"/>
    <w:rsid w:val="760C6162"/>
    <w:rsid w:val="765A7E1F"/>
    <w:rsid w:val="766C14B7"/>
    <w:rsid w:val="76BA0CCB"/>
    <w:rsid w:val="76E42557"/>
    <w:rsid w:val="77383B2B"/>
    <w:rsid w:val="774B59DA"/>
    <w:rsid w:val="77D25D2E"/>
    <w:rsid w:val="77FF2C4E"/>
    <w:rsid w:val="78024A62"/>
    <w:rsid w:val="790D7B12"/>
    <w:rsid w:val="792627D5"/>
    <w:rsid w:val="794C1B10"/>
    <w:rsid w:val="796F6A8F"/>
    <w:rsid w:val="79DC10E6"/>
    <w:rsid w:val="7A9C7942"/>
    <w:rsid w:val="7AA240DD"/>
    <w:rsid w:val="7B3B0EDA"/>
    <w:rsid w:val="7B4231CA"/>
    <w:rsid w:val="7BCF78A0"/>
    <w:rsid w:val="7C095AD0"/>
    <w:rsid w:val="7C7E0232"/>
    <w:rsid w:val="7D240701"/>
    <w:rsid w:val="7D3719A7"/>
    <w:rsid w:val="7DB859C6"/>
    <w:rsid w:val="7DEE3196"/>
    <w:rsid w:val="7E693D3E"/>
    <w:rsid w:val="7E7F0279"/>
    <w:rsid w:val="7EC76F25"/>
    <w:rsid w:val="7EE452A9"/>
    <w:rsid w:val="7F8069DA"/>
    <w:rsid w:val="B71F0554"/>
    <w:rsid w:val="D37A14BE"/>
    <w:rsid w:val="DCFE9428"/>
    <w:rsid w:val="DFDFAFF4"/>
    <w:rsid w:val="F73FCC3F"/>
    <w:rsid w:val="FF757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semiHidden/>
    <w:qFormat/>
    <w:uiPriority w:val="0"/>
    <w:pPr>
      <w:snapToGrid w:val="0"/>
      <w:jc w:val="left"/>
    </w:pPr>
    <w:rPr>
      <w:sz w:val="18"/>
      <w:szCs w:val="18"/>
    </w:rPr>
  </w:style>
  <w:style w:type="paragraph" w:styleId="3">
    <w:name w:val="Body Text"/>
    <w:basedOn w:val="1"/>
    <w:next w:val="1"/>
    <w:qFormat/>
    <w:uiPriority w:val="0"/>
    <w:pPr>
      <w:ind w:left="111"/>
    </w:pPr>
    <w:rPr>
      <w:rFonts w:ascii="Times New Roman" w:hAnsi="Times New Roman" w:eastAsia="宋体" w:cs="Times New Roman"/>
      <w:sz w:val="36"/>
      <w:szCs w:val="36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3"/>
    <w:qFormat/>
    <w:uiPriority w:val="99"/>
    <w:pPr>
      <w:ind w:firstLine="100" w:firstLineChars="100"/>
    </w:pPr>
    <w:rPr>
      <w:rFonts w:eastAsia="宋体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3478</Words>
  <Characters>3645</Characters>
  <Lines>0</Lines>
  <Paragraphs>0</Paragraphs>
  <TotalTime>0</TotalTime>
  <ScaleCrop>false</ScaleCrop>
  <LinksUpToDate>false</LinksUpToDate>
  <CharactersWithSpaces>3828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2024-10-28T17:59:00Z</dcterms:created>
  <dc:creator>12345678</dc:creator>
  <cp:lastModifiedBy>王权</cp:lastModifiedBy>
  <cp:lastPrinted>2025-01-08T00:29:00Z</cp:lastPrinted>
  <dcterms:modified xsi:type="dcterms:W3CDTF">2026-01-05T02:28:27Z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0DC5DCF65175464D9ACA640E38C9A3E9_12</vt:lpwstr>
  </property>
</Properties>
</file>