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DB8C75">
      <w:pPr>
        <w:pStyle w:val="13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0" w:firstLineChars="0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</w:p>
    <w:p w14:paraId="2C1FB513">
      <w:pPr>
        <w:pStyle w:val="13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0" w:firstLineChars="0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</w:p>
    <w:p w14:paraId="5CB4322E">
      <w:pPr>
        <w:pStyle w:val="13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0" w:firstLineChars="0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</w:p>
    <w:p w14:paraId="405F7CA5">
      <w:pPr>
        <w:pStyle w:val="13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0" w:firstLineChars="0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关于开展长沙市国际化消费环境建设项目</w:t>
      </w:r>
    </w:p>
    <w:p w14:paraId="446B8BCA">
      <w:pPr>
        <w:pStyle w:val="13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0" w:firstLineChars="0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eastAsia="zh-CN"/>
        </w:rPr>
        <w:t>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申报工作的通知</w:t>
      </w:r>
    </w:p>
    <w:p w14:paraId="04C0086B">
      <w:pPr>
        <w:pStyle w:val="13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880"/>
        <w:jc w:val="center"/>
        <w:textAlignment w:val="baseline"/>
        <w:rPr>
          <w:rFonts w:eastAsia="微软雅黑" w:cs="Times New Roman"/>
          <w:sz w:val="44"/>
          <w:szCs w:val="44"/>
          <w:shd w:val="clear" w:color="auto" w:fill="FFFFFF"/>
        </w:rPr>
      </w:pPr>
    </w:p>
    <w:p w14:paraId="03463AF9">
      <w:pPr>
        <w:pStyle w:val="13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0" w:firstLineChars="0"/>
        <w:jc w:val="both"/>
        <w:textAlignment w:val="baseline"/>
        <w:rPr>
          <w:rFonts w:cs="Times New Roman"/>
          <w:kern w:val="2"/>
          <w:sz w:val="32"/>
          <w:szCs w:val="32"/>
          <w:shd w:val="clear" w:color="auto" w:fill="FFFFFF"/>
        </w:rPr>
      </w:pPr>
      <w:bookmarkStart w:id="0" w:name="OLE_LINK4"/>
      <w:r>
        <w:rPr>
          <w:rFonts w:hint="eastAsia" w:cs="Times New Roman"/>
          <w:kern w:val="2"/>
          <w:sz w:val="32"/>
          <w:szCs w:val="32"/>
          <w:shd w:val="clear" w:color="auto" w:fill="FFFFFF"/>
        </w:rPr>
        <w:t>湖南湘江新区商务和</w:t>
      </w:r>
      <w:r>
        <w:rPr>
          <w:rFonts w:hint="eastAsia" w:cs="Times New Roman"/>
          <w:kern w:val="2"/>
          <w:sz w:val="32"/>
          <w:szCs w:val="32"/>
          <w:shd w:val="clear" w:color="auto" w:fill="FFFFFF"/>
          <w:lang w:eastAsia="zh-CN"/>
        </w:rPr>
        <w:t>市场监管</w:t>
      </w:r>
      <w:r>
        <w:rPr>
          <w:rFonts w:hint="eastAsia" w:cs="Times New Roman"/>
          <w:kern w:val="2"/>
          <w:sz w:val="32"/>
          <w:szCs w:val="32"/>
          <w:shd w:val="clear" w:color="auto" w:fill="FFFFFF"/>
        </w:rPr>
        <w:t>局，各区县（市）商务</w:t>
      </w:r>
      <w:r>
        <w:rPr>
          <w:rFonts w:hint="eastAsia" w:cs="Times New Roman"/>
          <w:kern w:val="2"/>
          <w:sz w:val="32"/>
          <w:szCs w:val="32"/>
          <w:shd w:val="clear" w:color="auto" w:fill="FFFFFF"/>
          <w:lang w:eastAsia="zh-CN"/>
        </w:rPr>
        <w:t>局</w:t>
      </w:r>
      <w:r>
        <w:rPr>
          <w:rFonts w:hint="eastAsia" w:cs="Times New Roman"/>
          <w:kern w:val="2"/>
          <w:sz w:val="32"/>
          <w:szCs w:val="32"/>
          <w:shd w:val="clear" w:color="auto" w:fill="FFFFFF"/>
        </w:rPr>
        <w:t>：</w:t>
      </w:r>
    </w:p>
    <w:bookmarkEnd w:id="0"/>
    <w:p w14:paraId="407608DC">
      <w:pPr>
        <w:pStyle w:val="13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640"/>
        <w:jc w:val="both"/>
        <w:textAlignment w:val="baseline"/>
        <w:rPr>
          <w:rFonts w:cs="Times New Roman"/>
          <w:kern w:val="2"/>
          <w:sz w:val="32"/>
          <w:szCs w:val="32"/>
          <w:shd w:val="clear" w:color="auto" w:fill="FFFFFF"/>
        </w:rPr>
      </w:pPr>
      <w:r>
        <w:rPr>
          <w:rFonts w:cs="Times New Roman"/>
          <w:kern w:val="2"/>
          <w:sz w:val="32"/>
          <w:szCs w:val="32"/>
          <w:shd w:val="clear" w:color="auto" w:fill="FFFFFF"/>
        </w:rPr>
        <w:t>根据</w:t>
      </w:r>
      <w:r>
        <w:rPr>
          <w:rFonts w:hint="eastAsia" w:cs="Times New Roman"/>
          <w:kern w:val="2"/>
          <w:sz w:val="32"/>
          <w:szCs w:val="32"/>
          <w:shd w:val="clear" w:color="auto" w:fill="FFFFFF"/>
        </w:rPr>
        <w:t>《财政部 商务部关于开展国际化消费环境建设工作的通知》（财建〔2025〕342号）</w:t>
      </w:r>
      <w:r>
        <w:rPr>
          <w:rFonts w:cs="Times New Roman"/>
          <w:kern w:val="2"/>
          <w:sz w:val="32"/>
          <w:szCs w:val="32"/>
          <w:shd w:val="clear" w:color="auto" w:fill="FFFFFF"/>
        </w:rPr>
        <w:t>、《</w:t>
      </w:r>
      <w:r>
        <w:rPr>
          <w:rFonts w:hint="eastAsia" w:cs="Times New Roman"/>
          <w:kern w:val="2"/>
          <w:sz w:val="32"/>
          <w:szCs w:val="32"/>
          <w:shd w:val="clear" w:color="auto" w:fill="FFFFFF"/>
        </w:rPr>
        <w:t>国际化消费环境建设试点城市拟入选名单公示》</w:t>
      </w:r>
      <w:r>
        <w:rPr>
          <w:rFonts w:cs="Times New Roman"/>
          <w:kern w:val="2"/>
          <w:sz w:val="32"/>
          <w:szCs w:val="32"/>
          <w:shd w:val="clear" w:color="auto" w:fill="FFFFFF"/>
        </w:rPr>
        <w:t>等文件要求，</w:t>
      </w:r>
      <w:r>
        <w:rPr>
          <w:rFonts w:hint="eastAsia" w:cs="Times New Roman"/>
          <w:kern w:val="2"/>
          <w:sz w:val="32"/>
          <w:szCs w:val="32"/>
          <w:shd w:val="clear" w:color="auto" w:fill="FFFFFF"/>
        </w:rPr>
        <w:t>长沙已被确定为国际化消费环境建设试点城市。为打造长沙国际化消费环境，提升入境消费的便利性、舒适度，加快我市国际消费中心城市建设，经研究，决定开展试点项目</w:t>
      </w:r>
      <w:r>
        <w:rPr>
          <w:rFonts w:hint="eastAsia" w:cs="Times New Roman"/>
          <w:kern w:val="2"/>
          <w:sz w:val="32"/>
          <w:szCs w:val="32"/>
          <w:shd w:val="clear" w:color="auto" w:fill="FFFFFF"/>
          <w:lang w:eastAsia="zh-CN"/>
        </w:rPr>
        <w:t>预</w:t>
      </w:r>
      <w:r>
        <w:rPr>
          <w:rFonts w:hint="eastAsia" w:cs="Times New Roman"/>
          <w:kern w:val="2"/>
          <w:sz w:val="32"/>
          <w:szCs w:val="32"/>
          <w:shd w:val="clear" w:color="auto" w:fill="FFFFFF"/>
        </w:rPr>
        <w:t>申报工作。现将</w:t>
      </w:r>
      <w:r>
        <w:rPr>
          <w:rFonts w:hint="eastAsia" w:cs="Times New Roman"/>
          <w:kern w:val="2"/>
          <w:sz w:val="32"/>
          <w:szCs w:val="32"/>
          <w:shd w:val="clear" w:color="auto" w:fill="FFFFFF"/>
          <w:lang w:eastAsia="zh-CN"/>
        </w:rPr>
        <w:t>预</w:t>
      </w:r>
      <w:r>
        <w:rPr>
          <w:rFonts w:hint="eastAsia" w:cs="Times New Roman"/>
          <w:kern w:val="2"/>
          <w:sz w:val="32"/>
          <w:szCs w:val="32"/>
          <w:shd w:val="clear" w:color="auto" w:fill="FFFFFF"/>
        </w:rPr>
        <w:t>申报有关事项通知如下：</w:t>
      </w:r>
    </w:p>
    <w:p w14:paraId="7B853FC1">
      <w:pPr>
        <w:pStyle w:val="13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640"/>
        <w:jc w:val="both"/>
        <w:textAlignment w:val="baseline"/>
        <w:outlineLvl w:val="0"/>
        <w:rPr>
          <w:rFonts w:eastAsia="微软雅黑" w:cs="Times New Roman"/>
          <w:sz w:val="14"/>
          <w:szCs w:val="14"/>
        </w:rPr>
      </w:pPr>
      <w:r>
        <w:rPr>
          <w:rFonts w:eastAsia="黑体" w:cs="Times New Roman"/>
          <w:sz w:val="32"/>
          <w:szCs w:val="32"/>
          <w:shd w:val="clear" w:color="auto" w:fill="FFFFFF"/>
        </w:rPr>
        <w:t>一、支持方向</w:t>
      </w:r>
    </w:p>
    <w:p w14:paraId="1E8FFF2A">
      <w:pPr>
        <w:overflowPunct w:val="0"/>
        <w:adjustRightInd w:val="0"/>
        <w:snapToGrid w:val="0"/>
        <w:spacing w:line="560" w:lineRule="exact"/>
        <w:ind w:firstLine="643"/>
        <w:outlineLvl w:val="1"/>
        <w:rPr>
          <w:rFonts w:hint="eastAsia" w:ascii="楷体_GB2312" w:hAnsi="楷体_GB2312" w:eastAsia="楷体_GB2312" w:cs="楷体_GB2312"/>
          <w:b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（一）丰富高品质消费供给</w:t>
      </w:r>
    </w:p>
    <w:p w14:paraId="68FF4CA3">
      <w:pPr>
        <w:overflowPunct w:val="0"/>
        <w:adjustRightInd w:val="0"/>
        <w:snapToGrid w:val="0"/>
        <w:spacing w:line="560" w:lineRule="exact"/>
        <w:ind w:firstLine="640"/>
        <w:rPr>
          <w:rFonts w:eastAsia="仿宋" w:cs="Times New Roman"/>
          <w:bCs/>
          <w:sz w:val="32"/>
          <w:szCs w:val="32"/>
        </w:rPr>
      </w:pPr>
      <w:r>
        <w:rPr>
          <w:rFonts w:cs="Times New Roman"/>
          <w:bCs/>
          <w:sz w:val="32"/>
          <w:szCs w:val="32"/>
        </w:rPr>
        <w:t xml:space="preserve">围绕国际化消费环境建设，聚焦知识产权（IP）、数字、绿色、智能、文旅、体育、国潮等主题，支持重点商圈改造提升，创新具有国际知名度和影响力的商旅文体健多元融合消费场景，打造国际消费集聚区、入境消费友好型商圈以及地标性消费项目。支持培育一批富有时尚引领度和国际影响力的本土品牌。大力发展离境退税，支持增加退税商店、丰富退税商品、优化退税服务等。 </w:t>
      </w:r>
    </w:p>
    <w:p w14:paraId="645EAC45">
      <w:pPr>
        <w:overflowPunct w:val="0"/>
        <w:adjustRightInd w:val="0"/>
        <w:snapToGrid w:val="0"/>
        <w:spacing w:line="560" w:lineRule="exact"/>
        <w:ind w:firstLine="643"/>
        <w:outlineLvl w:val="1"/>
        <w:rPr>
          <w:rFonts w:hint="eastAsia" w:ascii="楷体_GB2312" w:hAnsi="楷体_GB2312" w:eastAsia="楷体_GB2312" w:cs="楷体_GB2312"/>
          <w:b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（二）优化涉外支付服务</w:t>
      </w:r>
    </w:p>
    <w:p w14:paraId="0692F4FE">
      <w:pPr>
        <w:overflowPunct w:val="0"/>
        <w:adjustRightInd w:val="0"/>
        <w:snapToGrid w:val="0"/>
        <w:spacing w:line="560" w:lineRule="exact"/>
        <w:ind w:firstLine="640"/>
        <w:rPr>
          <w:rFonts w:eastAsia="仿宋" w:cs="Times New Roman"/>
          <w:bCs/>
          <w:sz w:val="32"/>
          <w:szCs w:val="32"/>
        </w:rPr>
      </w:pPr>
      <w:r>
        <w:rPr>
          <w:rFonts w:cs="Times New Roman"/>
          <w:bCs/>
          <w:sz w:val="32"/>
          <w:szCs w:val="32"/>
        </w:rPr>
        <w:t>完善多层次、多元化支付服务体系。优化境外银行卡使用环境，提升商圈、旅游景区、旅游休闲街区、酒店、餐厅、机场、车站等涉外人员重点场所外卡POS机覆盖率，支持商户安装或升级外卡POS机设备。优化现金使用环境，支持涉外人员重点场所增设外币兑换点、外币兑换机等设施及多币种兑换服务。推进商户现金备付工作，做好零售、餐饮、文旅、交通等场景全覆盖。</w:t>
      </w:r>
      <w:r>
        <w:rPr>
          <w:rFonts w:eastAsia="仿宋" w:cs="Times New Roman"/>
          <w:bCs/>
          <w:sz w:val="32"/>
          <w:szCs w:val="32"/>
        </w:rPr>
        <w:t xml:space="preserve"> </w:t>
      </w:r>
    </w:p>
    <w:p w14:paraId="0A2404B0">
      <w:pPr>
        <w:overflowPunct w:val="0"/>
        <w:adjustRightInd w:val="0"/>
        <w:snapToGrid w:val="0"/>
        <w:spacing w:line="560" w:lineRule="exact"/>
        <w:ind w:firstLine="643"/>
        <w:outlineLvl w:val="1"/>
        <w:rPr>
          <w:rFonts w:hint="eastAsia" w:ascii="楷体_GB2312" w:hAnsi="楷体_GB2312" w:eastAsia="楷体_GB2312" w:cs="楷体_GB2312"/>
          <w:b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（三）提升国际化服务水平</w:t>
      </w:r>
    </w:p>
    <w:p w14:paraId="3FCDC568">
      <w:pPr>
        <w:overflowPunct w:val="0"/>
        <w:adjustRightInd w:val="0"/>
        <w:snapToGrid w:val="0"/>
        <w:spacing w:line="560" w:lineRule="exact"/>
        <w:ind w:firstLine="64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_GB2312" w:hAnsi="仿宋" w:cs="仿宋"/>
          <w:bCs/>
          <w:sz w:val="32"/>
          <w:szCs w:val="32"/>
        </w:rPr>
        <w:t>支持完善重点商圈、旅游景区、酒店、机场、火车站、地铁站、体育场馆等重点场所多语种标识，增设行李寄存、境外旅客引导服务台等便利服务设施，投放多语种翻译工具。丰富入境旅游产品供给，支持餐饮、住宿、零售等重点商户提供多语种产品及服务清单。联合高校、培训机构增加小语种志愿者服务，组织重点场所工作人员开展外语接待、支付指导、旅游咨询、购物指引等业务培训。</w:t>
      </w:r>
    </w:p>
    <w:p w14:paraId="0ED9DE00">
      <w:pPr>
        <w:pStyle w:val="13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640"/>
        <w:jc w:val="both"/>
        <w:outlineLvl w:val="0"/>
        <w:rPr>
          <w:rFonts w:eastAsia="黑体" w:cs="Times New Roman"/>
          <w:sz w:val="32"/>
          <w:szCs w:val="32"/>
          <w:shd w:val="clear" w:color="auto" w:fill="FFFFFF"/>
        </w:rPr>
      </w:pPr>
      <w:r>
        <w:rPr>
          <w:rFonts w:eastAsia="黑体" w:cs="Times New Roman"/>
          <w:sz w:val="32"/>
          <w:szCs w:val="32"/>
          <w:shd w:val="clear" w:color="auto" w:fill="FFFFFF"/>
        </w:rPr>
        <w:t>二、</w:t>
      </w:r>
      <w:r>
        <w:rPr>
          <w:rFonts w:hint="eastAsia" w:eastAsia="黑体" w:cs="Times New Roman"/>
          <w:sz w:val="32"/>
          <w:szCs w:val="32"/>
          <w:shd w:val="clear" w:color="auto" w:fill="FFFFFF"/>
          <w:lang w:eastAsia="zh-CN"/>
        </w:rPr>
        <w:t>预</w:t>
      </w:r>
      <w:r>
        <w:rPr>
          <w:rFonts w:hint="eastAsia" w:eastAsia="黑体" w:cs="Times New Roman"/>
          <w:sz w:val="32"/>
          <w:szCs w:val="32"/>
          <w:shd w:val="clear" w:color="auto" w:fill="FFFFFF"/>
        </w:rPr>
        <w:t>申报要求</w:t>
      </w:r>
    </w:p>
    <w:p w14:paraId="72A40F0B">
      <w:pPr>
        <w:overflowPunct w:val="0"/>
        <w:adjustRightInd w:val="0"/>
        <w:snapToGrid w:val="0"/>
        <w:spacing w:line="560" w:lineRule="exact"/>
        <w:ind w:firstLine="643"/>
        <w:outlineLvl w:val="1"/>
        <w:rPr>
          <w:rFonts w:hint="eastAsia" w:ascii="楷体_GB2312" w:hAnsi="楷体_GB2312" w:eastAsia="楷体_GB2312" w:cs="楷体_GB2312"/>
          <w:b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（一）申报单位</w:t>
      </w:r>
    </w:p>
    <w:p w14:paraId="49E073D0">
      <w:pPr>
        <w:overflowPunct w:val="0"/>
        <w:adjustRightInd w:val="0"/>
        <w:snapToGrid w:val="0"/>
        <w:spacing w:line="560" w:lineRule="exact"/>
        <w:ind w:firstLine="640"/>
        <w:rPr>
          <w:rFonts w:hint="eastAsia" w:ascii="仿宋_GB2312" w:hAnsi="仿宋" w:cs="仿宋"/>
          <w:bCs/>
          <w:sz w:val="32"/>
          <w:szCs w:val="32"/>
        </w:rPr>
      </w:pPr>
      <w:bookmarkStart w:id="1" w:name="_Hlk216082383"/>
      <w:r>
        <w:rPr>
          <w:rFonts w:hint="eastAsia" w:cs="Times New Roman"/>
          <w:sz w:val="32"/>
          <w:szCs w:val="32"/>
          <w:shd w:val="clear" w:color="auto" w:fill="FFFFFF"/>
        </w:rPr>
        <w:t>申报单位依法登记注册，</w:t>
      </w:r>
      <w:r>
        <w:rPr>
          <w:rFonts w:hint="eastAsia" w:ascii="仿宋_GB2312" w:hAnsi="仿宋" w:cs="仿宋"/>
          <w:bCs/>
          <w:sz w:val="32"/>
          <w:szCs w:val="32"/>
        </w:rPr>
        <w:t>具有独立法人资格的相关企事业单位、社会团体等</w:t>
      </w:r>
      <w:r>
        <w:rPr>
          <w:rFonts w:hint="eastAsia" w:cs="Times New Roman"/>
          <w:sz w:val="32"/>
          <w:szCs w:val="32"/>
          <w:shd w:val="clear" w:color="auto" w:fill="FFFFFF"/>
        </w:rPr>
        <w:t>，经营证照齐全。</w:t>
      </w:r>
      <w:bookmarkEnd w:id="1"/>
      <w:bookmarkStart w:id="2" w:name="_Hlk216082410"/>
      <w:r>
        <w:rPr>
          <w:rFonts w:hint="eastAsia" w:ascii="仿宋_GB2312" w:hAnsi="仿宋" w:cs="仿宋"/>
          <w:bCs/>
          <w:sz w:val="32"/>
          <w:szCs w:val="32"/>
        </w:rPr>
        <w:t>申报单位需经营状况良好、财务制度健全，近三年内无不良信用记录、严重违法违规记录及重大安全、环保责任事故</w:t>
      </w:r>
      <w:bookmarkEnd w:id="2"/>
      <w:r>
        <w:rPr>
          <w:rFonts w:hint="eastAsia" w:ascii="仿宋_GB2312" w:hAnsi="仿宋" w:cs="仿宋"/>
          <w:bCs/>
          <w:sz w:val="32"/>
          <w:szCs w:val="32"/>
        </w:rPr>
        <w:t>，</w:t>
      </w:r>
      <w:r>
        <w:rPr>
          <w:rFonts w:hint="eastAsia" w:cs="Times New Roman"/>
          <w:sz w:val="32"/>
          <w:szCs w:val="32"/>
          <w:shd w:val="clear" w:color="auto" w:fill="FFFFFF"/>
        </w:rPr>
        <w:t>未被列入全国信用信息共享平台（湖南长沙）失信“黑名单”。</w:t>
      </w:r>
    </w:p>
    <w:p w14:paraId="2F47D043">
      <w:pPr>
        <w:overflowPunct w:val="0"/>
        <w:adjustRightInd w:val="0"/>
        <w:snapToGrid w:val="0"/>
        <w:spacing w:line="560" w:lineRule="exact"/>
        <w:ind w:firstLine="643"/>
        <w:outlineLvl w:val="1"/>
        <w:rPr>
          <w:rFonts w:hint="eastAsia" w:ascii="楷体_GB2312" w:hAnsi="楷体_GB2312" w:eastAsia="楷体_GB2312" w:cs="楷体_GB2312"/>
          <w:b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（二）申报项目</w:t>
      </w:r>
    </w:p>
    <w:p w14:paraId="31A99D14">
      <w:pPr>
        <w:overflowPunct w:val="0"/>
        <w:adjustRightInd w:val="0"/>
        <w:snapToGrid w:val="0"/>
        <w:spacing w:line="560" w:lineRule="exact"/>
        <w:ind w:firstLine="640"/>
        <w:rPr>
          <w:rFonts w:cs="Times New Roman"/>
          <w:sz w:val="32"/>
          <w:szCs w:val="32"/>
          <w:shd w:val="clear" w:color="auto" w:fill="FFFFFF"/>
        </w:rPr>
      </w:pPr>
      <w:r>
        <w:rPr>
          <w:rFonts w:hint="eastAsia" w:cs="Times New Roman"/>
          <w:sz w:val="32"/>
          <w:szCs w:val="32"/>
          <w:shd w:val="clear" w:color="auto" w:fill="FFFFFF"/>
        </w:rPr>
        <w:t>1.项目须在长沙市范围内组织实施，申报奖补范围为2025年10月开始实施的相关内容，申报项目原则上要求在2027年6月30日前完成竣工验收并投入运营。</w:t>
      </w:r>
    </w:p>
    <w:p w14:paraId="0AA3AA63">
      <w:pPr>
        <w:overflowPunct w:val="0"/>
        <w:adjustRightInd w:val="0"/>
        <w:snapToGrid w:val="0"/>
        <w:spacing w:line="560" w:lineRule="exact"/>
        <w:ind w:firstLine="640"/>
        <w:rPr>
          <w:rFonts w:cs="Times New Roman"/>
          <w:sz w:val="32"/>
          <w:szCs w:val="32"/>
          <w:shd w:val="clear" w:color="auto" w:fill="FFFFFF"/>
        </w:rPr>
      </w:pPr>
      <w:r>
        <w:rPr>
          <w:rFonts w:hint="eastAsia" w:cs="Times New Roman"/>
          <w:sz w:val="32"/>
          <w:szCs w:val="32"/>
          <w:shd w:val="clear" w:color="auto" w:fill="FFFFFF"/>
        </w:rPr>
        <w:t>2.申报项目需符合试点支持方向，内容真实、合规，不得弄虚作假骗取、套取补助资金。项目信息应完整，包括但不限于：项目名称、主要内容、预期目标、实施地点、实施期限、投资主体、投资规模与资金来源、预期带动就业人数、建成后运营计划等。</w:t>
      </w:r>
    </w:p>
    <w:p w14:paraId="2F1292F0">
      <w:pPr>
        <w:overflowPunct w:val="0"/>
        <w:adjustRightInd w:val="0"/>
        <w:snapToGrid w:val="0"/>
        <w:spacing w:line="560" w:lineRule="exact"/>
        <w:ind w:firstLine="640"/>
        <w:rPr>
          <w:rFonts w:cs="Times New Roman"/>
          <w:sz w:val="32"/>
          <w:szCs w:val="32"/>
          <w:shd w:val="clear" w:color="auto" w:fill="FFFFFF"/>
        </w:rPr>
      </w:pPr>
      <w:r>
        <w:rPr>
          <w:rFonts w:hint="eastAsia" w:cs="Times New Roman"/>
          <w:sz w:val="32"/>
          <w:szCs w:val="32"/>
          <w:shd w:val="clear" w:color="auto" w:fill="FFFFFF"/>
        </w:rPr>
        <w:t>3.有关补助资金不得用于新建、扩建基础设施等，不得用于支付罚款、赞助、偿还债务以及财政补助单位人员经费和工作经费等，不得用于土地开发、征地拆迁、建设政府性楼堂馆所等明令禁止的支出项目。</w:t>
      </w:r>
    </w:p>
    <w:p w14:paraId="0DE25033">
      <w:pPr>
        <w:overflowPunct w:val="0"/>
        <w:adjustRightInd w:val="0"/>
        <w:snapToGrid w:val="0"/>
        <w:spacing w:line="560" w:lineRule="exact"/>
        <w:ind w:firstLine="640"/>
        <w:rPr>
          <w:rFonts w:cs="Times New Roman"/>
          <w:sz w:val="32"/>
          <w:szCs w:val="32"/>
          <w:shd w:val="clear" w:color="auto" w:fill="FFFFFF"/>
        </w:rPr>
      </w:pPr>
      <w:r>
        <w:rPr>
          <w:rFonts w:hint="eastAsia" w:cs="Times New Roman"/>
          <w:sz w:val="32"/>
          <w:szCs w:val="32"/>
          <w:shd w:val="clear" w:color="auto" w:fill="FFFFFF"/>
        </w:rPr>
        <w:t>4.已列入并享受过其他中央财政资金扶持的项目不能重复申报。</w:t>
      </w:r>
    </w:p>
    <w:p w14:paraId="6222D982">
      <w:pPr>
        <w:overflowPunct w:val="0"/>
        <w:adjustRightInd w:val="0"/>
        <w:snapToGrid w:val="0"/>
        <w:spacing w:line="560" w:lineRule="exact"/>
        <w:ind w:firstLine="640"/>
        <w:rPr>
          <w:rFonts w:cs="Times New Roman"/>
          <w:sz w:val="32"/>
          <w:szCs w:val="32"/>
          <w:shd w:val="clear" w:color="auto" w:fill="FFFFFF"/>
        </w:rPr>
      </w:pPr>
      <w:r>
        <w:rPr>
          <w:rFonts w:hint="eastAsia" w:cs="Times New Roman"/>
          <w:sz w:val="32"/>
          <w:szCs w:val="32"/>
          <w:shd w:val="clear" w:color="auto" w:fill="FFFFFF"/>
        </w:rPr>
        <w:t>5.上级部门如有其他要求，再另行确定通知。</w:t>
      </w:r>
    </w:p>
    <w:p w14:paraId="437791FC">
      <w:pPr>
        <w:pStyle w:val="13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640"/>
        <w:jc w:val="both"/>
        <w:outlineLvl w:val="0"/>
        <w:rPr>
          <w:rFonts w:hint="eastAsia" w:ascii="仿宋_GB2312" w:hAnsi="仿宋" w:cs="仿宋"/>
          <w:bCs/>
          <w:sz w:val="32"/>
          <w:szCs w:val="32"/>
        </w:rPr>
      </w:pPr>
      <w:r>
        <w:rPr>
          <w:rFonts w:eastAsia="黑体" w:cs="Times New Roman"/>
          <w:sz w:val="32"/>
          <w:szCs w:val="32"/>
          <w:shd w:val="clear" w:color="auto" w:fill="FFFFFF"/>
        </w:rPr>
        <w:t>三、</w:t>
      </w:r>
      <w:r>
        <w:rPr>
          <w:rFonts w:hint="eastAsia" w:eastAsia="黑体" w:cs="Times New Roman"/>
          <w:sz w:val="32"/>
          <w:szCs w:val="32"/>
          <w:shd w:val="clear" w:color="auto" w:fill="FFFFFF"/>
        </w:rPr>
        <w:t>申报时间</w:t>
      </w:r>
    </w:p>
    <w:p w14:paraId="7BF44E61">
      <w:pPr>
        <w:pStyle w:val="7"/>
        <w:adjustRightInd w:val="0"/>
        <w:snapToGrid w:val="0"/>
        <w:spacing w:after="0" w:line="560" w:lineRule="exact"/>
        <w:ind w:firstLine="640"/>
        <w:rPr>
          <w:rFonts w:eastAsia="黑体" w:cs="Times New Roman"/>
          <w:sz w:val="32"/>
          <w:szCs w:val="32"/>
          <w:shd w:val="clear" w:color="auto" w:fill="FFFFFF"/>
        </w:rPr>
      </w:pPr>
      <w:r>
        <w:rPr>
          <w:rFonts w:hint="eastAsia" w:cs="Times New Roman"/>
          <w:bCs/>
          <w:snapToGrid w:val="0"/>
          <w:sz w:val="32"/>
          <w:szCs w:val="32"/>
          <w:shd w:val="clear" w:color="auto" w:fill="FFFFFF"/>
        </w:rPr>
        <w:t>2025年12月16日至2025年12月29日。</w:t>
      </w:r>
    </w:p>
    <w:p w14:paraId="7C85B43F">
      <w:pPr>
        <w:pStyle w:val="13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640"/>
        <w:jc w:val="both"/>
        <w:outlineLvl w:val="0"/>
        <w:rPr>
          <w:rFonts w:eastAsia="黑体" w:cs="Times New Roman"/>
          <w:sz w:val="32"/>
          <w:szCs w:val="32"/>
          <w:shd w:val="clear" w:color="auto" w:fill="FFFFFF"/>
        </w:rPr>
      </w:pPr>
      <w:r>
        <w:rPr>
          <w:rFonts w:hint="eastAsia" w:eastAsia="黑体" w:cs="Times New Roman"/>
          <w:sz w:val="32"/>
          <w:szCs w:val="32"/>
          <w:shd w:val="clear" w:color="auto" w:fill="FFFFFF"/>
        </w:rPr>
        <w:t>四、</w:t>
      </w:r>
      <w:r>
        <w:rPr>
          <w:rFonts w:eastAsia="黑体" w:cs="Times New Roman"/>
          <w:sz w:val="32"/>
          <w:szCs w:val="32"/>
          <w:shd w:val="clear" w:color="auto" w:fill="FFFFFF"/>
        </w:rPr>
        <w:t>申报</w:t>
      </w:r>
      <w:r>
        <w:rPr>
          <w:rFonts w:hint="eastAsia" w:eastAsia="黑体" w:cs="Times New Roman"/>
          <w:sz w:val="32"/>
          <w:szCs w:val="32"/>
          <w:shd w:val="clear" w:color="auto" w:fill="FFFFFF"/>
        </w:rPr>
        <w:t>方式</w:t>
      </w:r>
    </w:p>
    <w:p w14:paraId="2B04AFFD">
      <w:pPr>
        <w:overflowPunct w:val="0"/>
        <w:adjustRightInd w:val="0"/>
        <w:snapToGrid w:val="0"/>
        <w:spacing w:line="560" w:lineRule="exact"/>
        <w:ind w:firstLine="640"/>
        <w:rPr>
          <w:rFonts w:cs="Times New Roman"/>
          <w:sz w:val="32"/>
          <w:szCs w:val="32"/>
          <w:shd w:val="clear" w:color="auto" w:fill="FFFFFF"/>
        </w:rPr>
      </w:pPr>
      <w:r>
        <w:rPr>
          <w:rFonts w:hint="eastAsia" w:cs="Times New Roman"/>
          <w:bCs/>
          <w:snapToGrid w:val="0"/>
          <w:sz w:val="32"/>
          <w:szCs w:val="32"/>
          <w:shd w:val="clear" w:color="auto" w:fill="FFFFFF"/>
          <w:lang w:val="en-US" w:eastAsia="zh-CN"/>
        </w:rPr>
        <w:t>湖南</w:t>
      </w:r>
      <w:r>
        <w:rPr>
          <w:rFonts w:cs="Times New Roman"/>
          <w:bCs/>
          <w:snapToGrid w:val="0"/>
          <w:sz w:val="32"/>
          <w:szCs w:val="32"/>
          <w:shd w:val="clear" w:color="auto" w:fill="FFFFFF"/>
        </w:rPr>
        <w:t>湘江新区、各区县（市）商务主管部门</w:t>
      </w:r>
      <w:r>
        <w:rPr>
          <w:rFonts w:hint="eastAsia" w:cs="Times New Roman"/>
          <w:sz w:val="32"/>
          <w:szCs w:val="32"/>
          <w:shd w:val="clear" w:color="auto" w:fill="FFFFFF"/>
        </w:rPr>
        <w:t>要高度重视项目</w:t>
      </w:r>
      <w:r>
        <w:rPr>
          <w:rFonts w:hint="eastAsia" w:cs="Times New Roman"/>
          <w:kern w:val="2"/>
          <w:sz w:val="32"/>
          <w:szCs w:val="32"/>
          <w:shd w:val="clear" w:color="auto" w:fill="FFFFFF"/>
          <w:lang w:eastAsia="zh-CN"/>
        </w:rPr>
        <w:t>预</w:t>
      </w:r>
      <w:r>
        <w:rPr>
          <w:rFonts w:hint="eastAsia" w:cs="Times New Roman"/>
          <w:sz w:val="32"/>
          <w:szCs w:val="32"/>
          <w:shd w:val="clear" w:color="auto" w:fill="FFFFFF"/>
        </w:rPr>
        <w:t>申报工作，在前期摸底基础上，积极组织行业协会、重点商圈、产业平台、重点企业等开展政策宣讲和项目申报。</w:t>
      </w:r>
    </w:p>
    <w:p w14:paraId="01EA834F">
      <w:pPr>
        <w:overflowPunct w:val="0"/>
        <w:adjustRightInd w:val="0"/>
        <w:snapToGrid w:val="0"/>
        <w:spacing w:line="560" w:lineRule="exact"/>
        <w:ind w:firstLine="640"/>
        <w:rPr>
          <w:rFonts w:hint="eastAsia" w:cs="Times New Roman"/>
          <w:sz w:val="32"/>
          <w:szCs w:val="32"/>
          <w:shd w:val="clear" w:color="auto" w:fill="FFFFFF"/>
        </w:rPr>
      </w:pPr>
      <w:r>
        <w:rPr>
          <w:rFonts w:hint="eastAsia" w:cs="Times New Roman"/>
          <w:sz w:val="32"/>
          <w:szCs w:val="32"/>
          <w:shd w:val="clear" w:color="auto" w:fill="FFFFFF"/>
        </w:rPr>
        <w:t>项目申报主体通过注册地或项目建设地所在的区县（市）商务部门提交项目申报书（附件2），由</w:t>
      </w:r>
      <w:r>
        <w:rPr>
          <w:rFonts w:hint="eastAsia" w:cs="Times New Roman"/>
          <w:bCs/>
          <w:snapToGrid w:val="0"/>
          <w:sz w:val="32"/>
          <w:szCs w:val="32"/>
          <w:shd w:val="clear" w:color="auto" w:fill="FFFFFF"/>
          <w:lang w:val="en-US" w:eastAsia="zh-CN"/>
        </w:rPr>
        <w:t>湖南</w:t>
      </w:r>
      <w:r>
        <w:rPr>
          <w:rFonts w:cs="Times New Roman"/>
          <w:bCs/>
          <w:snapToGrid w:val="0"/>
          <w:sz w:val="32"/>
          <w:szCs w:val="32"/>
          <w:shd w:val="clear" w:color="auto" w:fill="FFFFFF"/>
        </w:rPr>
        <w:t>湘江新区、各区县（市）商务主管部门</w:t>
      </w:r>
      <w:r>
        <w:rPr>
          <w:rFonts w:hint="eastAsia" w:cs="Times New Roman"/>
          <w:sz w:val="32"/>
          <w:szCs w:val="32"/>
          <w:shd w:val="clear" w:color="auto" w:fill="FFFFFF"/>
        </w:rPr>
        <w:t>初审汇总后（附件1），于2025年12月29日前统一报送至市商务局。项目申报材料需简单装订成册，一式四份，同时提供项目申报单位盖章PDF版和Word版。</w:t>
      </w:r>
    </w:p>
    <w:p w14:paraId="660C62CB">
      <w:pPr>
        <w:overflowPunct w:val="0"/>
        <w:adjustRightInd w:val="0"/>
        <w:snapToGrid w:val="0"/>
        <w:spacing w:line="560" w:lineRule="exact"/>
        <w:ind w:firstLine="640"/>
        <w:rPr>
          <w:rFonts w:hint="eastAsia" w:cs="Times New Roman"/>
          <w:sz w:val="32"/>
          <w:szCs w:val="32"/>
          <w:shd w:val="clear" w:color="auto" w:fill="FFFFFF"/>
        </w:rPr>
      </w:pPr>
    </w:p>
    <w:p w14:paraId="1D566D75">
      <w:pPr>
        <w:overflowPunct w:val="0"/>
        <w:adjustRightInd w:val="0"/>
        <w:snapToGrid w:val="0"/>
        <w:spacing w:line="560" w:lineRule="exact"/>
        <w:rPr>
          <w:rFonts w:hint="eastAsia" w:cs="Times New Roman"/>
          <w:sz w:val="32"/>
          <w:szCs w:val="32"/>
          <w:shd w:val="clear" w:color="auto" w:fill="FFFFFF"/>
        </w:rPr>
      </w:pPr>
      <w:r>
        <w:rPr>
          <w:rFonts w:hint="eastAsia" w:cs="Times New Roman"/>
          <w:sz w:val="32"/>
          <w:szCs w:val="32"/>
          <w:shd w:val="clear" w:color="auto" w:fill="FFFFFF"/>
          <w:lang w:val="en-US" w:eastAsia="zh-CN"/>
        </w:rPr>
        <w:t>申报咨询联系方式：</w:t>
      </w:r>
    </w:p>
    <w:p w14:paraId="27EC7E74">
      <w:pPr>
        <w:overflowPunct w:val="0"/>
        <w:adjustRightInd w:val="0"/>
        <w:snapToGrid w:val="0"/>
        <w:spacing w:line="560" w:lineRule="exact"/>
        <w:ind w:firstLine="1049" w:firstLineChars="328"/>
        <w:rPr>
          <w:rFonts w:hint="eastAsia" w:cs="Times New Roman"/>
          <w:sz w:val="32"/>
          <w:szCs w:val="32"/>
          <w:shd w:val="clear" w:color="auto" w:fill="FFFFFF"/>
        </w:rPr>
      </w:pPr>
      <w:r>
        <w:rPr>
          <w:rFonts w:hint="eastAsia" w:cs="Times New Roman"/>
          <w:sz w:val="32"/>
          <w:szCs w:val="32"/>
          <w:shd w:val="clear" w:color="auto" w:fill="FFFFFF"/>
        </w:rPr>
        <w:t>天心区：0731-85899322；</w:t>
      </w:r>
    </w:p>
    <w:p w14:paraId="144B995F">
      <w:pPr>
        <w:overflowPunct w:val="0"/>
        <w:adjustRightInd w:val="0"/>
        <w:snapToGrid w:val="0"/>
        <w:spacing w:line="560" w:lineRule="exact"/>
        <w:ind w:firstLine="1049" w:firstLineChars="328"/>
        <w:rPr>
          <w:rFonts w:hint="eastAsia" w:cs="Times New Roman"/>
          <w:sz w:val="32"/>
          <w:szCs w:val="32"/>
          <w:shd w:val="clear" w:color="auto" w:fill="FFFFFF"/>
        </w:rPr>
      </w:pPr>
      <w:r>
        <w:rPr>
          <w:rFonts w:hint="eastAsia" w:cs="Times New Roman"/>
          <w:sz w:val="32"/>
          <w:szCs w:val="32"/>
          <w:shd w:val="clear" w:color="auto" w:fill="FFFFFF"/>
        </w:rPr>
        <w:t>开福区：0731-84399064；</w:t>
      </w:r>
    </w:p>
    <w:p w14:paraId="4D8BDB66">
      <w:pPr>
        <w:overflowPunct w:val="0"/>
        <w:adjustRightInd w:val="0"/>
        <w:snapToGrid w:val="0"/>
        <w:spacing w:line="560" w:lineRule="exact"/>
        <w:ind w:firstLine="1049" w:firstLineChars="328"/>
        <w:rPr>
          <w:rFonts w:hint="eastAsia" w:cs="Times New Roman"/>
          <w:sz w:val="32"/>
          <w:szCs w:val="32"/>
          <w:shd w:val="clear" w:color="auto" w:fill="FFFFFF"/>
        </w:rPr>
      </w:pPr>
      <w:r>
        <w:rPr>
          <w:rFonts w:hint="eastAsia" w:cs="Times New Roman"/>
          <w:sz w:val="32"/>
          <w:szCs w:val="32"/>
          <w:shd w:val="clear" w:color="auto" w:fill="FFFFFF"/>
        </w:rPr>
        <w:t>雨花区：0731-85880215；</w:t>
      </w:r>
    </w:p>
    <w:p w14:paraId="33A428B0">
      <w:pPr>
        <w:overflowPunct w:val="0"/>
        <w:adjustRightInd w:val="0"/>
        <w:snapToGrid w:val="0"/>
        <w:spacing w:line="560" w:lineRule="exact"/>
        <w:ind w:firstLine="1049" w:firstLineChars="328"/>
        <w:rPr>
          <w:rFonts w:hint="eastAsia" w:cs="Times New Roman"/>
          <w:sz w:val="32"/>
          <w:szCs w:val="32"/>
          <w:shd w:val="clear" w:color="auto" w:fill="FFFFFF"/>
        </w:rPr>
      </w:pPr>
      <w:r>
        <w:rPr>
          <w:rFonts w:hint="eastAsia" w:cs="Times New Roman"/>
          <w:sz w:val="32"/>
          <w:szCs w:val="32"/>
          <w:shd w:val="clear" w:color="auto" w:fill="FFFFFF"/>
        </w:rPr>
        <w:t>芙蓉区：0731-84683362；</w:t>
      </w:r>
    </w:p>
    <w:p w14:paraId="4F41867E">
      <w:pPr>
        <w:overflowPunct w:val="0"/>
        <w:adjustRightInd w:val="0"/>
        <w:snapToGrid w:val="0"/>
        <w:spacing w:line="560" w:lineRule="exact"/>
        <w:ind w:firstLine="1049" w:firstLineChars="328"/>
        <w:rPr>
          <w:rFonts w:hint="eastAsia" w:cs="Times New Roman"/>
          <w:sz w:val="32"/>
          <w:szCs w:val="32"/>
          <w:shd w:val="clear" w:color="auto" w:fill="FFFFFF"/>
          <w:lang w:eastAsia="zh-CN"/>
        </w:rPr>
      </w:pPr>
      <w:r>
        <w:rPr>
          <w:rFonts w:hint="eastAsia" w:cs="Times New Roman"/>
          <w:sz w:val="32"/>
          <w:szCs w:val="32"/>
          <w:shd w:val="clear" w:color="auto" w:fill="FFFFFF"/>
        </w:rPr>
        <w:t>望城</w:t>
      </w:r>
      <w:r>
        <w:rPr>
          <w:rFonts w:hint="eastAsia" w:cs="Times New Roman"/>
          <w:sz w:val="32"/>
          <w:szCs w:val="32"/>
          <w:shd w:val="clear" w:color="auto" w:fill="FFFFFF"/>
          <w:lang w:val="en-US" w:eastAsia="zh-CN"/>
        </w:rPr>
        <w:t>区</w:t>
      </w:r>
      <w:r>
        <w:rPr>
          <w:rFonts w:hint="eastAsia" w:cs="Times New Roman"/>
          <w:sz w:val="32"/>
          <w:szCs w:val="32"/>
          <w:shd w:val="clear" w:color="auto" w:fill="FFFFFF"/>
        </w:rPr>
        <w:t>：0731-88082912</w:t>
      </w:r>
      <w:r>
        <w:rPr>
          <w:rFonts w:hint="eastAsia" w:cs="Times New Roman"/>
          <w:sz w:val="32"/>
          <w:szCs w:val="32"/>
          <w:shd w:val="clear" w:color="auto" w:fill="FFFFFF"/>
          <w:lang w:eastAsia="zh-CN"/>
        </w:rPr>
        <w:t>；</w:t>
      </w:r>
    </w:p>
    <w:p w14:paraId="6D1C9F8F">
      <w:pPr>
        <w:overflowPunct w:val="0"/>
        <w:adjustRightInd w:val="0"/>
        <w:snapToGrid w:val="0"/>
        <w:spacing w:line="560" w:lineRule="exact"/>
        <w:ind w:firstLine="1049" w:firstLineChars="328"/>
        <w:rPr>
          <w:rFonts w:hint="eastAsia" w:cs="Times New Roman"/>
          <w:sz w:val="32"/>
          <w:szCs w:val="32"/>
          <w:shd w:val="clear" w:color="auto" w:fill="FFFFFF"/>
          <w:lang w:eastAsia="zh-CN"/>
        </w:rPr>
      </w:pPr>
      <w:r>
        <w:rPr>
          <w:rFonts w:hint="eastAsia" w:cs="Times New Roman"/>
          <w:sz w:val="32"/>
          <w:szCs w:val="32"/>
          <w:shd w:val="clear" w:color="auto" w:fill="FFFFFF"/>
        </w:rPr>
        <w:t>长沙县：0731-84874816</w:t>
      </w:r>
      <w:r>
        <w:rPr>
          <w:rFonts w:hint="eastAsia" w:cs="Times New Roman"/>
          <w:sz w:val="32"/>
          <w:szCs w:val="32"/>
          <w:shd w:val="clear" w:color="auto" w:fill="FFFFFF"/>
          <w:lang w:eastAsia="zh-CN"/>
        </w:rPr>
        <w:t>；</w:t>
      </w:r>
    </w:p>
    <w:p w14:paraId="1C3137CF">
      <w:pPr>
        <w:overflowPunct w:val="0"/>
        <w:adjustRightInd w:val="0"/>
        <w:snapToGrid w:val="0"/>
        <w:spacing w:line="560" w:lineRule="exact"/>
        <w:ind w:firstLine="1049" w:firstLineChars="328"/>
        <w:rPr>
          <w:rFonts w:hint="eastAsia" w:cs="Times New Roman"/>
          <w:sz w:val="32"/>
          <w:szCs w:val="32"/>
          <w:shd w:val="clear" w:color="auto" w:fill="FFFFFF"/>
          <w:lang w:eastAsia="zh-CN"/>
        </w:rPr>
      </w:pPr>
      <w:r>
        <w:rPr>
          <w:rFonts w:hint="eastAsia" w:cs="Times New Roman"/>
          <w:sz w:val="32"/>
          <w:szCs w:val="32"/>
          <w:shd w:val="clear" w:color="auto" w:fill="FFFFFF"/>
        </w:rPr>
        <w:t>宁乡市：0731-88980792；</w:t>
      </w:r>
    </w:p>
    <w:p w14:paraId="73EE161C">
      <w:pPr>
        <w:overflowPunct w:val="0"/>
        <w:adjustRightInd w:val="0"/>
        <w:snapToGrid w:val="0"/>
        <w:spacing w:line="560" w:lineRule="exact"/>
        <w:ind w:firstLine="1049" w:firstLineChars="328"/>
        <w:rPr>
          <w:rFonts w:hint="eastAsia" w:cs="Times New Roman"/>
          <w:sz w:val="32"/>
          <w:szCs w:val="32"/>
          <w:shd w:val="clear" w:color="auto" w:fill="FFFFFF"/>
          <w:lang w:eastAsia="zh-CN"/>
        </w:rPr>
      </w:pPr>
      <w:r>
        <w:rPr>
          <w:rFonts w:hint="eastAsia" w:cs="Times New Roman"/>
          <w:sz w:val="32"/>
          <w:szCs w:val="32"/>
          <w:shd w:val="clear" w:color="auto" w:fill="FFFFFF"/>
        </w:rPr>
        <w:t>浏阳</w:t>
      </w:r>
      <w:r>
        <w:rPr>
          <w:rFonts w:hint="eastAsia" w:cs="Times New Roman"/>
          <w:sz w:val="32"/>
          <w:szCs w:val="32"/>
          <w:shd w:val="clear" w:color="auto" w:fill="FFFFFF"/>
          <w:lang w:val="en-US" w:eastAsia="zh-CN"/>
        </w:rPr>
        <w:t>市</w:t>
      </w:r>
      <w:r>
        <w:rPr>
          <w:rFonts w:hint="eastAsia" w:cs="Times New Roman"/>
          <w:sz w:val="32"/>
          <w:szCs w:val="32"/>
          <w:shd w:val="clear" w:color="auto" w:fill="FFFFFF"/>
        </w:rPr>
        <w:t>：0731-83682215</w:t>
      </w:r>
      <w:r>
        <w:rPr>
          <w:rFonts w:hint="eastAsia" w:cs="Times New Roman"/>
          <w:sz w:val="32"/>
          <w:szCs w:val="32"/>
          <w:shd w:val="clear" w:color="auto" w:fill="FFFFFF"/>
          <w:lang w:eastAsia="zh-CN"/>
        </w:rPr>
        <w:t>；</w:t>
      </w:r>
    </w:p>
    <w:p w14:paraId="3E07BD60">
      <w:pPr>
        <w:overflowPunct w:val="0"/>
        <w:adjustRightInd w:val="0"/>
        <w:snapToGrid w:val="0"/>
        <w:spacing w:line="560" w:lineRule="exact"/>
        <w:ind w:firstLine="1049" w:firstLineChars="328"/>
        <w:rPr>
          <w:rFonts w:hint="eastAsia" w:cs="Times New Roman"/>
          <w:sz w:val="32"/>
          <w:szCs w:val="32"/>
          <w:shd w:val="clear" w:color="auto" w:fill="FFFFFF"/>
          <w:lang w:eastAsia="zh-CN"/>
        </w:rPr>
      </w:pPr>
      <w:r>
        <w:rPr>
          <w:rFonts w:hint="eastAsia" w:cs="Times New Roman"/>
          <w:sz w:val="32"/>
          <w:szCs w:val="32"/>
          <w:shd w:val="clear" w:color="auto" w:fill="FFFFFF"/>
        </w:rPr>
        <w:t>湘江新区</w:t>
      </w:r>
      <w:r>
        <w:rPr>
          <w:rFonts w:hint="eastAsia" w:cs="Times New Roman"/>
          <w:sz w:val="32"/>
          <w:szCs w:val="32"/>
          <w:shd w:val="clear" w:color="auto" w:fill="FFFFFF"/>
          <w:lang w:eastAsia="zh-CN"/>
        </w:rPr>
        <w:t>：</w:t>
      </w:r>
      <w:r>
        <w:rPr>
          <w:rFonts w:hint="eastAsia" w:cs="Times New Roman"/>
          <w:sz w:val="32"/>
          <w:szCs w:val="32"/>
          <w:shd w:val="clear" w:color="auto" w:fill="FFFFFF"/>
        </w:rPr>
        <w:t>0731-88999802；</w:t>
      </w:r>
    </w:p>
    <w:p w14:paraId="177F7B63">
      <w:pPr>
        <w:overflowPunct w:val="0"/>
        <w:adjustRightInd w:val="0"/>
        <w:snapToGrid w:val="0"/>
        <w:spacing w:line="560" w:lineRule="exact"/>
        <w:ind w:firstLine="1049" w:firstLineChars="328"/>
        <w:rPr>
          <w:rFonts w:hint="eastAsia" w:cs="Times New Roman"/>
          <w:sz w:val="32"/>
          <w:szCs w:val="32"/>
          <w:shd w:val="clear" w:color="auto" w:fill="FFFFFF"/>
        </w:rPr>
      </w:pPr>
      <w:r>
        <w:rPr>
          <w:rFonts w:hint="eastAsia" w:cs="Times New Roman"/>
          <w:sz w:val="32"/>
          <w:szCs w:val="32"/>
          <w:shd w:val="clear" w:color="auto" w:fill="FFFFFF"/>
          <w:lang w:val="en-US" w:eastAsia="zh-CN"/>
        </w:rPr>
        <w:t>长沙市本级：</w:t>
      </w:r>
      <w:r>
        <w:rPr>
          <w:rFonts w:hint="eastAsia" w:cs="Times New Roman"/>
          <w:sz w:val="32"/>
          <w:szCs w:val="32"/>
          <w:shd w:val="clear" w:color="auto" w:fill="FFFFFF"/>
        </w:rPr>
        <w:t>0731-88665567；</w:t>
      </w:r>
    </w:p>
    <w:p w14:paraId="674D0EC8">
      <w:pPr>
        <w:overflowPunct w:val="0"/>
        <w:adjustRightInd w:val="0"/>
        <w:snapToGrid w:val="0"/>
        <w:spacing w:line="560" w:lineRule="exact"/>
        <w:ind w:firstLine="640"/>
        <w:rPr>
          <w:rFonts w:hint="eastAsia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cs="Times New Roman"/>
          <w:sz w:val="32"/>
          <w:szCs w:val="32"/>
          <w:shd w:val="clear" w:color="auto" w:fill="FFFFFF"/>
          <w:lang w:val="en-US" w:eastAsia="zh-CN"/>
        </w:rPr>
        <w:t>咨询时间：工作日上午9:00-11:30，下午2:30-5:30。</w:t>
      </w:r>
    </w:p>
    <w:p w14:paraId="5BF18152">
      <w:pPr>
        <w:suppressAutoHyphens/>
        <w:snapToGrid w:val="0"/>
        <w:spacing w:line="560" w:lineRule="exact"/>
        <w:ind w:left="0" w:leftChars="0" w:firstLine="0" w:firstLineChars="0"/>
        <w:rPr>
          <w:rFonts w:hint="eastAsia" w:cs="Times New Roman"/>
          <w:sz w:val="32"/>
          <w:szCs w:val="32"/>
        </w:rPr>
      </w:pPr>
    </w:p>
    <w:p w14:paraId="78BC698A">
      <w:pPr>
        <w:snapToGrid w:val="0"/>
        <w:spacing w:line="560" w:lineRule="exact"/>
        <w:ind w:firstLine="643"/>
        <w:jc w:val="left"/>
        <w:rPr>
          <w:rFonts w:hint="eastAsia" w:eastAsia="仿宋_GB2312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cs="Times New Roman"/>
          <w:b w:val="0"/>
          <w:bCs w:val="0"/>
          <w:sz w:val="32"/>
          <w:szCs w:val="32"/>
          <w:shd w:val="clear" w:color="auto" w:fill="FFFFFF"/>
        </w:rPr>
        <w:t>附件：</w:t>
      </w:r>
      <w:r>
        <w:rPr>
          <w:rFonts w:hint="eastAsia" w:cs="Times New Roman"/>
          <w:kern w:val="0"/>
          <w:sz w:val="32"/>
          <w:szCs w:val="32"/>
          <w:shd w:val="clear" w:color="auto" w:fill="FFFFFF"/>
        </w:rPr>
        <w:t>1. 长沙市国际化消费环境建设项目汇总表</w:t>
      </w:r>
    </w:p>
    <w:p w14:paraId="693A539B">
      <w:pPr>
        <w:pStyle w:val="13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1600" w:firstLineChars="500"/>
        <w:rPr>
          <w:rFonts w:cs="Times New Roman"/>
          <w:sz w:val="32"/>
          <w:szCs w:val="32"/>
          <w:shd w:val="clear" w:color="auto" w:fill="FFFFFF"/>
        </w:rPr>
      </w:pPr>
      <w:r>
        <w:rPr>
          <w:rFonts w:hint="eastAsia" w:cs="Times New Roman"/>
          <w:sz w:val="32"/>
          <w:szCs w:val="32"/>
          <w:shd w:val="clear" w:color="auto" w:fill="FFFFFF"/>
        </w:rPr>
        <w:t>2. 长沙市国际化消费环境建设项目申报书</w:t>
      </w:r>
    </w:p>
    <w:p w14:paraId="38BF6C36">
      <w:pPr>
        <w:ind w:firstLine="560"/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2154" w:right="1474" w:bottom="1984" w:left="1587" w:header="851" w:footer="1417" w:gutter="0"/>
          <w:pgNumType w:fmt="decimal" w:start="1"/>
          <w:cols w:space="425" w:num="1"/>
          <w:docGrid w:type="lines" w:linePitch="312" w:charSpace="0"/>
        </w:sectPr>
      </w:pPr>
    </w:p>
    <w:p w14:paraId="423AA237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79" w:lineRule="exact"/>
        <w:ind w:left="0" w:leftChars="0" w:firstLine="0" w:firstLineChars="0"/>
        <w:jc w:val="both"/>
        <w:textAlignment w:val="auto"/>
        <w:outlineLvl w:val="0"/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kern w:val="0"/>
          <w:sz w:val="32"/>
          <w:szCs w:val="32"/>
          <w:shd w:val="clear" w:color="auto" w:fill="FFFFFF"/>
          <w:lang w:val="en-US" w:eastAsia="zh-CN" w:bidi="ar-SA"/>
        </w:rPr>
        <w:t>1</w:t>
      </w:r>
    </w:p>
    <w:p w14:paraId="002E22B9">
      <w:pPr>
        <w:keepNext w:val="0"/>
        <w:keepLines w:val="0"/>
        <w:pageBreakBefore w:val="0"/>
        <w:tabs>
          <w:tab w:val="left" w:pos="5220"/>
        </w:tabs>
        <w:kinsoku/>
        <w:wordWrap/>
        <w:overflowPunct/>
        <w:topLinePunct w:val="0"/>
        <w:autoSpaceDE/>
        <w:autoSpaceDN/>
        <w:bidi w:val="0"/>
        <w:spacing w:line="579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长沙市国际化消费环境建设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预申报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项目汇总表</w:t>
      </w:r>
    </w:p>
    <w:p w14:paraId="335A25EC">
      <w:pPr>
        <w:keepNext w:val="0"/>
        <w:keepLines w:val="0"/>
        <w:pageBreakBefore w:val="0"/>
        <w:tabs>
          <w:tab w:val="left" w:pos="5220"/>
        </w:tabs>
        <w:kinsoku/>
        <w:wordWrap/>
        <w:overflowPunct/>
        <w:topLinePunct w:val="0"/>
        <w:autoSpaceDE/>
        <w:autoSpaceDN/>
        <w:bidi w:val="0"/>
        <w:spacing w:line="579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tbl>
      <w:tblPr>
        <w:tblStyle w:val="14"/>
        <w:tblW w:w="530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515"/>
        <w:gridCol w:w="664"/>
        <w:gridCol w:w="955"/>
        <w:gridCol w:w="685"/>
        <w:gridCol w:w="685"/>
        <w:gridCol w:w="685"/>
        <w:gridCol w:w="685"/>
        <w:gridCol w:w="685"/>
        <w:gridCol w:w="685"/>
        <w:gridCol w:w="685"/>
        <w:gridCol w:w="707"/>
        <w:gridCol w:w="707"/>
        <w:gridCol w:w="707"/>
        <w:gridCol w:w="707"/>
        <w:gridCol w:w="936"/>
        <w:gridCol w:w="600"/>
        <w:gridCol w:w="590"/>
        <w:gridCol w:w="488"/>
        <w:gridCol w:w="765"/>
      </w:tblGrid>
      <w:tr w14:paraId="370CE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309" w:hRule="atLeast"/>
          <w:jc w:val="center"/>
        </w:trPr>
        <w:tc>
          <w:tcPr>
            <w:tcW w:w="204" w:type="pct"/>
            <w:vMerge w:val="restart"/>
            <w:shd w:val="clear" w:color="auto" w:fill="auto"/>
            <w:vAlign w:val="center"/>
          </w:tcPr>
          <w:p w14:paraId="081A6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87" w:type="pct"/>
            <w:vMerge w:val="restart"/>
            <w:shd w:val="clear" w:color="auto" w:fill="auto"/>
            <w:vAlign w:val="center"/>
          </w:tcPr>
          <w:p w14:paraId="7F2AC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项目所属区、县（市）</w:t>
            </w:r>
          </w:p>
        </w:tc>
        <w:tc>
          <w:tcPr>
            <w:tcW w:w="242" w:type="pct"/>
            <w:vMerge w:val="restart"/>
            <w:shd w:val="clear" w:color="auto" w:fill="auto"/>
            <w:vAlign w:val="center"/>
          </w:tcPr>
          <w:p w14:paraId="3631E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48" w:type="pct"/>
            <w:vMerge w:val="restart"/>
            <w:shd w:val="clear" w:color="auto" w:fill="auto"/>
            <w:vAlign w:val="center"/>
          </w:tcPr>
          <w:p w14:paraId="5060D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项目试点方向</w:t>
            </w:r>
          </w:p>
        </w:tc>
        <w:tc>
          <w:tcPr>
            <w:tcW w:w="250" w:type="pct"/>
            <w:vMerge w:val="restart"/>
            <w:shd w:val="clear" w:color="auto" w:fill="auto"/>
            <w:vAlign w:val="center"/>
          </w:tcPr>
          <w:p w14:paraId="6A32C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投资建设单位</w:t>
            </w:r>
          </w:p>
        </w:tc>
        <w:tc>
          <w:tcPr>
            <w:tcW w:w="250" w:type="pct"/>
            <w:vMerge w:val="restart"/>
            <w:shd w:val="clear" w:color="auto" w:fill="auto"/>
            <w:vAlign w:val="center"/>
          </w:tcPr>
          <w:p w14:paraId="1ED7E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项目责任部门</w:t>
            </w:r>
          </w:p>
        </w:tc>
        <w:tc>
          <w:tcPr>
            <w:tcW w:w="250" w:type="pct"/>
            <w:vMerge w:val="restart"/>
            <w:shd w:val="clear" w:color="auto" w:fill="auto"/>
            <w:vAlign w:val="center"/>
          </w:tcPr>
          <w:p w14:paraId="1E58E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建设类型（新建、扩建、改建等）</w:t>
            </w:r>
          </w:p>
        </w:tc>
        <w:tc>
          <w:tcPr>
            <w:tcW w:w="250" w:type="pct"/>
            <w:vMerge w:val="restart"/>
            <w:shd w:val="clear" w:color="auto" w:fill="auto"/>
            <w:vAlign w:val="center"/>
          </w:tcPr>
          <w:p w14:paraId="54956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项目开工时间</w:t>
            </w:r>
          </w:p>
          <w:p w14:paraId="77835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（年、月）</w:t>
            </w:r>
          </w:p>
        </w:tc>
        <w:tc>
          <w:tcPr>
            <w:tcW w:w="250" w:type="pct"/>
            <w:vMerge w:val="restart"/>
            <w:shd w:val="clear" w:color="auto" w:fill="auto"/>
            <w:vAlign w:val="center"/>
          </w:tcPr>
          <w:p w14:paraId="4E452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项目竣工时间</w:t>
            </w:r>
          </w:p>
          <w:p w14:paraId="56DD6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（年、月）</w:t>
            </w:r>
          </w:p>
        </w:tc>
        <w:tc>
          <w:tcPr>
            <w:tcW w:w="250" w:type="pct"/>
            <w:vMerge w:val="restart"/>
            <w:shd w:val="clear" w:color="auto" w:fill="auto"/>
            <w:vAlign w:val="center"/>
          </w:tcPr>
          <w:p w14:paraId="1528E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项目建设地点（具体位置）</w:t>
            </w:r>
          </w:p>
        </w:tc>
        <w:tc>
          <w:tcPr>
            <w:tcW w:w="250" w:type="pct"/>
            <w:vMerge w:val="restart"/>
            <w:shd w:val="clear" w:color="auto" w:fill="auto"/>
            <w:vAlign w:val="center"/>
          </w:tcPr>
          <w:p w14:paraId="79900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项目建设内容（100字以内）</w:t>
            </w:r>
          </w:p>
        </w:tc>
        <w:tc>
          <w:tcPr>
            <w:tcW w:w="1032" w:type="pct"/>
            <w:gridSpan w:val="4"/>
            <w:shd w:val="clear" w:color="auto" w:fill="auto"/>
            <w:vAlign w:val="center"/>
          </w:tcPr>
          <w:p w14:paraId="1C572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预期实现目标</w:t>
            </w:r>
          </w:p>
        </w:tc>
        <w:tc>
          <w:tcPr>
            <w:tcW w:w="776" w:type="pct"/>
            <w:gridSpan w:val="3"/>
            <w:shd w:val="clear" w:color="auto" w:fill="auto"/>
            <w:vAlign w:val="center"/>
          </w:tcPr>
          <w:p w14:paraId="470A5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项目投资资金情况</w:t>
            </w:r>
          </w:p>
        </w:tc>
        <w:tc>
          <w:tcPr>
            <w:tcW w:w="178" w:type="pct"/>
            <w:vMerge w:val="restart"/>
            <w:shd w:val="clear" w:color="auto" w:fill="auto"/>
            <w:vAlign w:val="center"/>
          </w:tcPr>
          <w:p w14:paraId="59A97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企业申报联系人</w:t>
            </w:r>
          </w:p>
        </w:tc>
        <w:tc>
          <w:tcPr>
            <w:tcW w:w="279" w:type="pct"/>
            <w:vMerge w:val="restart"/>
            <w:shd w:val="clear" w:color="auto" w:fill="auto"/>
            <w:vAlign w:val="center"/>
          </w:tcPr>
          <w:p w14:paraId="432D6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申报人联系方式</w:t>
            </w:r>
          </w:p>
        </w:tc>
      </w:tr>
      <w:tr w14:paraId="6F337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04" w:type="pct"/>
            <w:vMerge w:val="continue"/>
            <w:shd w:val="clear" w:color="auto" w:fill="auto"/>
            <w:vAlign w:val="center"/>
          </w:tcPr>
          <w:p w14:paraId="5BA0D0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vMerge w:val="continue"/>
            <w:shd w:val="clear" w:color="auto" w:fill="auto"/>
            <w:vAlign w:val="center"/>
          </w:tcPr>
          <w:p w14:paraId="1CD952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2" w:type="pct"/>
            <w:vMerge w:val="continue"/>
            <w:shd w:val="clear" w:color="auto" w:fill="auto"/>
            <w:vAlign w:val="center"/>
          </w:tcPr>
          <w:p w14:paraId="4B7313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8" w:type="pct"/>
            <w:vMerge w:val="continue"/>
            <w:shd w:val="clear" w:color="auto" w:fill="auto"/>
            <w:vAlign w:val="center"/>
          </w:tcPr>
          <w:p w14:paraId="3DBFA7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" w:type="pct"/>
            <w:vMerge w:val="continue"/>
            <w:shd w:val="clear" w:color="auto" w:fill="auto"/>
            <w:vAlign w:val="center"/>
          </w:tcPr>
          <w:p w14:paraId="6517FF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" w:type="pct"/>
            <w:vMerge w:val="continue"/>
            <w:shd w:val="clear" w:color="auto" w:fill="auto"/>
            <w:vAlign w:val="center"/>
          </w:tcPr>
          <w:p w14:paraId="659A00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" w:type="pct"/>
            <w:vMerge w:val="continue"/>
            <w:shd w:val="clear" w:color="auto" w:fill="auto"/>
            <w:vAlign w:val="center"/>
          </w:tcPr>
          <w:p w14:paraId="6DEF3A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" w:type="pct"/>
            <w:vMerge w:val="continue"/>
            <w:shd w:val="clear" w:color="auto" w:fill="auto"/>
            <w:vAlign w:val="center"/>
          </w:tcPr>
          <w:p w14:paraId="16F56C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" w:type="pct"/>
            <w:vMerge w:val="continue"/>
            <w:shd w:val="clear" w:color="auto" w:fill="auto"/>
            <w:vAlign w:val="center"/>
          </w:tcPr>
          <w:p w14:paraId="78C102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" w:type="pct"/>
            <w:vMerge w:val="continue"/>
            <w:shd w:val="clear" w:color="auto" w:fill="auto"/>
            <w:vAlign w:val="center"/>
          </w:tcPr>
          <w:p w14:paraId="32DA10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" w:type="pct"/>
            <w:vMerge w:val="continue"/>
            <w:shd w:val="clear" w:color="auto" w:fill="auto"/>
            <w:vAlign w:val="center"/>
          </w:tcPr>
          <w:p w14:paraId="246420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6CCB5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预计年客流量（万人次）</w:t>
            </w:r>
          </w:p>
        </w:tc>
        <w:tc>
          <w:tcPr>
            <w:tcW w:w="258" w:type="pct"/>
            <w:shd w:val="clear" w:color="auto" w:fill="auto"/>
            <w:vAlign w:val="center"/>
          </w:tcPr>
          <w:p w14:paraId="2E385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预计年销售收入金额（万元）</w:t>
            </w:r>
          </w:p>
        </w:tc>
        <w:tc>
          <w:tcPr>
            <w:tcW w:w="258" w:type="pct"/>
            <w:shd w:val="clear" w:color="auto" w:fill="auto"/>
            <w:vAlign w:val="center"/>
          </w:tcPr>
          <w:p w14:paraId="64408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预计实现年利润金额（万元）</w:t>
            </w:r>
          </w:p>
        </w:tc>
        <w:tc>
          <w:tcPr>
            <w:tcW w:w="258" w:type="pct"/>
            <w:shd w:val="clear" w:color="auto" w:fill="auto"/>
            <w:vAlign w:val="center"/>
          </w:tcPr>
          <w:p w14:paraId="682A3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预期带动就业人数（人）</w:t>
            </w:r>
          </w:p>
        </w:tc>
        <w:tc>
          <w:tcPr>
            <w:tcW w:w="341" w:type="pct"/>
            <w:shd w:val="clear" w:color="auto" w:fill="auto"/>
            <w:vAlign w:val="center"/>
          </w:tcPr>
          <w:p w14:paraId="4B80F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资金来源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0A813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项目总投资规模（万元）</w:t>
            </w:r>
          </w:p>
        </w:tc>
        <w:tc>
          <w:tcPr>
            <w:tcW w:w="215" w:type="pct"/>
            <w:shd w:val="clear" w:color="auto" w:fill="auto"/>
            <w:vAlign w:val="center"/>
          </w:tcPr>
          <w:p w14:paraId="1160A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拟申请补贴的投资金额</w:t>
            </w:r>
          </w:p>
          <w:p w14:paraId="097B1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78" w:type="pct"/>
            <w:vMerge w:val="continue"/>
            <w:shd w:val="clear" w:color="auto" w:fill="auto"/>
            <w:vAlign w:val="center"/>
          </w:tcPr>
          <w:p w14:paraId="3E2BD6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9" w:type="pct"/>
            <w:vMerge w:val="continue"/>
            <w:shd w:val="clear" w:color="auto" w:fill="auto"/>
            <w:vAlign w:val="center"/>
          </w:tcPr>
          <w:p w14:paraId="5F2632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523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204" w:type="pct"/>
            <w:shd w:val="clear" w:color="auto" w:fill="auto"/>
            <w:vAlign w:val="center"/>
          </w:tcPr>
          <w:p w14:paraId="1719E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示例</w:t>
            </w:r>
          </w:p>
        </w:tc>
        <w:tc>
          <w:tcPr>
            <w:tcW w:w="187" w:type="pct"/>
            <w:shd w:val="clear" w:color="auto" w:fill="auto"/>
            <w:vAlign w:val="center"/>
          </w:tcPr>
          <w:p w14:paraId="488E6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2" w:type="pct"/>
            <w:shd w:val="clear" w:color="auto" w:fill="auto"/>
            <w:vAlign w:val="center"/>
          </w:tcPr>
          <w:p w14:paraId="2EF9B05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48" w:type="pct"/>
            <w:shd w:val="clear" w:color="auto" w:fill="auto"/>
            <w:vAlign w:val="center"/>
          </w:tcPr>
          <w:p w14:paraId="51850525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丰富高品质消费供给</w:t>
            </w:r>
          </w:p>
          <w:p w14:paraId="71ED9CD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优化涉外支付服务</w:t>
            </w:r>
          </w:p>
          <w:p w14:paraId="581B9F03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提升国际化服务水平</w:t>
            </w:r>
          </w:p>
        </w:tc>
        <w:tc>
          <w:tcPr>
            <w:tcW w:w="250" w:type="pct"/>
            <w:shd w:val="clear" w:color="auto" w:fill="auto"/>
            <w:vAlign w:val="center"/>
          </w:tcPr>
          <w:p w14:paraId="1882F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项目建设主体企业</w:t>
            </w:r>
          </w:p>
        </w:tc>
        <w:tc>
          <w:tcPr>
            <w:tcW w:w="250" w:type="pct"/>
            <w:shd w:val="clear" w:color="auto" w:fill="auto"/>
            <w:vAlign w:val="center"/>
          </w:tcPr>
          <w:p w14:paraId="7B5C8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责任部门可以是县级主管部门，或者属地街道、社区。</w:t>
            </w:r>
          </w:p>
        </w:tc>
        <w:tc>
          <w:tcPr>
            <w:tcW w:w="250" w:type="pct"/>
            <w:shd w:val="clear" w:color="auto" w:fill="auto"/>
            <w:vAlign w:val="center"/>
          </w:tcPr>
          <w:p w14:paraId="6E960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0" w:type="pct"/>
            <w:shd w:val="clear" w:color="auto" w:fill="auto"/>
            <w:vAlign w:val="center"/>
          </w:tcPr>
          <w:p w14:paraId="45C41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20XX年XX月XX日</w:t>
            </w:r>
          </w:p>
        </w:tc>
        <w:tc>
          <w:tcPr>
            <w:tcW w:w="250" w:type="pct"/>
            <w:shd w:val="clear" w:color="auto" w:fill="auto"/>
            <w:vAlign w:val="center"/>
          </w:tcPr>
          <w:p w14:paraId="0188F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20XX年XX月XX日</w:t>
            </w:r>
          </w:p>
        </w:tc>
        <w:tc>
          <w:tcPr>
            <w:tcW w:w="250" w:type="pct"/>
            <w:shd w:val="clear" w:color="auto" w:fill="auto"/>
            <w:vAlign w:val="center"/>
          </w:tcPr>
          <w:p w14:paraId="4FDA5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长沙市XX区XX街XX号</w:t>
            </w:r>
          </w:p>
        </w:tc>
        <w:tc>
          <w:tcPr>
            <w:tcW w:w="250" w:type="pct"/>
            <w:shd w:val="clear" w:color="auto" w:fill="auto"/>
            <w:vAlign w:val="center"/>
          </w:tcPr>
          <w:p w14:paraId="2A34E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698F5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7E679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6A1AC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26C35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41" w:type="pct"/>
            <w:shd w:val="clear" w:color="auto" w:fill="auto"/>
            <w:vAlign w:val="center"/>
          </w:tcPr>
          <w:p w14:paraId="56992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项目资金来源按属性与用途可分为权益资金、债务资金、政府资金、自筹资金、利用外资等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056B2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15" w:type="pct"/>
            <w:shd w:val="clear" w:color="auto" w:fill="auto"/>
            <w:vAlign w:val="center"/>
          </w:tcPr>
          <w:p w14:paraId="0D22D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shd w:val="clear" w:color="auto" w:fill="auto"/>
            <w:vAlign w:val="center"/>
          </w:tcPr>
          <w:p w14:paraId="12542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14:paraId="44A29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4B9A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04" w:type="pct"/>
            <w:shd w:val="clear" w:color="auto" w:fill="auto"/>
            <w:vAlign w:val="center"/>
          </w:tcPr>
          <w:p w14:paraId="08086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18"/>
                <w:szCs w:val="18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18"/>
                <w:szCs w:val="18"/>
                <w:shd w:val="clear" w:color="auto" w:fill="FFFFFF"/>
                <w:lang w:val="en-US" w:eastAsia="zh-CN" w:bidi="ar-SA"/>
              </w:rPr>
              <w:t>1</w:t>
            </w:r>
          </w:p>
        </w:tc>
        <w:tc>
          <w:tcPr>
            <w:tcW w:w="187" w:type="pct"/>
            <w:shd w:val="clear" w:color="auto" w:fill="auto"/>
            <w:vAlign w:val="center"/>
          </w:tcPr>
          <w:p w14:paraId="56400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2" w:type="pct"/>
            <w:shd w:val="clear" w:color="auto" w:fill="auto"/>
            <w:vAlign w:val="center"/>
          </w:tcPr>
          <w:p w14:paraId="29EED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48" w:type="pct"/>
            <w:shd w:val="clear" w:color="auto" w:fill="auto"/>
            <w:vAlign w:val="center"/>
          </w:tcPr>
          <w:p w14:paraId="799FE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0" w:type="pct"/>
            <w:shd w:val="clear" w:color="auto" w:fill="auto"/>
            <w:vAlign w:val="center"/>
          </w:tcPr>
          <w:p w14:paraId="64DEA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0" w:type="pct"/>
            <w:shd w:val="clear" w:color="auto" w:fill="auto"/>
            <w:vAlign w:val="center"/>
          </w:tcPr>
          <w:p w14:paraId="00EE5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0" w:type="pct"/>
            <w:shd w:val="clear" w:color="auto" w:fill="auto"/>
            <w:vAlign w:val="center"/>
          </w:tcPr>
          <w:p w14:paraId="2FB97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0" w:type="pct"/>
            <w:shd w:val="clear" w:color="auto" w:fill="auto"/>
            <w:vAlign w:val="center"/>
          </w:tcPr>
          <w:p w14:paraId="2C1AA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0" w:type="pct"/>
            <w:shd w:val="clear" w:color="auto" w:fill="auto"/>
            <w:vAlign w:val="center"/>
          </w:tcPr>
          <w:p w14:paraId="25DC0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0" w:type="pct"/>
            <w:shd w:val="clear" w:color="auto" w:fill="auto"/>
            <w:vAlign w:val="center"/>
          </w:tcPr>
          <w:p w14:paraId="32533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0" w:type="pct"/>
            <w:shd w:val="clear" w:color="auto" w:fill="auto"/>
            <w:vAlign w:val="center"/>
          </w:tcPr>
          <w:p w14:paraId="2AC74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50186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5ABC0F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5FB18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01CE4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41" w:type="pct"/>
            <w:shd w:val="clear" w:color="auto" w:fill="auto"/>
            <w:vAlign w:val="center"/>
          </w:tcPr>
          <w:p w14:paraId="66148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19" w:type="pct"/>
            <w:shd w:val="clear" w:color="auto" w:fill="auto"/>
            <w:vAlign w:val="center"/>
          </w:tcPr>
          <w:p w14:paraId="42C02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15" w:type="pct"/>
            <w:shd w:val="clear" w:color="auto" w:fill="auto"/>
            <w:vAlign w:val="center"/>
          </w:tcPr>
          <w:p w14:paraId="53533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shd w:val="clear" w:color="auto" w:fill="auto"/>
            <w:vAlign w:val="center"/>
          </w:tcPr>
          <w:p w14:paraId="63CD2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14:paraId="6A7F2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73A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04" w:type="pct"/>
            <w:shd w:val="clear" w:color="auto" w:fill="auto"/>
            <w:vAlign w:val="center"/>
          </w:tcPr>
          <w:p w14:paraId="3290B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18"/>
                <w:szCs w:val="18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18"/>
                <w:szCs w:val="18"/>
                <w:shd w:val="clear" w:color="auto" w:fill="FFFFFF"/>
                <w:lang w:val="en-US" w:eastAsia="zh-CN" w:bidi="ar-SA"/>
              </w:rPr>
              <w:t>2</w:t>
            </w:r>
          </w:p>
        </w:tc>
        <w:tc>
          <w:tcPr>
            <w:tcW w:w="187" w:type="pct"/>
            <w:shd w:val="clear" w:color="auto" w:fill="auto"/>
            <w:vAlign w:val="center"/>
          </w:tcPr>
          <w:p w14:paraId="29338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2" w:type="pct"/>
            <w:shd w:val="clear" w:color="auto" w:fill="auto"/>
            <w:vAlign w:val="center"/>
          </w:tcPr>
          <w:p w14:paraId="00E4C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48" w:type="pct"/>
            <w:shd w:val="clear" w:color="auto" w:fill="auto"/>
            <w:vAlign w:val="center"/>
          </w:tcPr>
          <w:p w14:paraId="07F4A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0" w:type="pct"/>
            <w:shd w:val="clear" w:color="auto" w:fill="auto"/>
            <w:vAlign w:val="center"/>
          </w:tcPr>
          <w:p w14:paraId="345DD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0" w:type="pct"/>
            <w:shd w:val="clear" w:color="auto" w:fill="auto"/>
            <w:vAlign w:val="center"/>
          </w:tcPr>
          <w:p w14:paraId="19322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0" w:type="pct"/>
            <w:shd w:val="clear" w:color="auto" w:fill="auto"/>
            <w:vAlign w:val="center"/>
          </w:tcPr>
          <w:p w14:paraId="4AB84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0" w:type="pct"/>
            <w:shd w:val="clear" w:color="auto" w:fill="auto"/>
            <w:vAlign w:val="center"/>
          </w:tcPr>
          <w:p w14:paraId="7BBF7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0" w:type="pct"/>
            <w:shd w:val="clear" w:color="auto" w:fill="auto"/>
            <w:vAlign w:val="center"/>
          </w:tcPr>
          <w:p w14:paraId="63ACF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0" w:type="pct"/>
            <w:shd w:val="clear" w:color="auto" w:fill="auto"/>
            <w:vAlign w:val="center"/>
          </w:tcPr>
          <w:p w14:paraId="0CF34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0" w:type="pct"/>
            <w:shd w:val="clear" w:color="auto" w:fill="auto"/>
            <w:vAlign w:val="center"/>
          </w:tcPr>
          <w:p w14:paraId="2488A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27A7F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669CA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2145E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3E81A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41" w:type="pct"/>
            <w:shd w:val="clear" w:color="auto" w:fill="auto"/>
            <w:vAlign w:val="center"/>
          </w:tcPr>
          <w:p w14:paraId="0C79F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19" w:type="pct"/>
            <w:shd w:val="clear" w:color="auto" w:fill="auto"/>
            <w:vAlign w:val="center"/>
          </w:tcPr>
          <w:p w14:paraId="5FBFA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15" w:type="pct"/>
            <w:shd w:val="clear" w:color="auto" w:fill="auto"/>
            <w:vAlign w:val="center"/>
          </w:tcPr>
          <w:p w14:paraId="73EB6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8" w:type="pct"/>
            <w:shd w:val="clear" w:color="auto" w:fill="auto"/>
            <w:vAlign w:val="center"/>
          </w:tcPr>
          <w:p w14:paraId="7ACDC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14:paraId="1EC1D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791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atLeast"/>
          <w:jc w:val="center"/>
        </w:trPr>
        <w:tc>
          <w:tcPr>
            <w:tcW w:w="5000" w:type="pct"/>
            <w:gridSpan w:val="20"/>
            <w:shd w:val="clear" w:color="auto" w:fill="auto"/>
            <w:vAlign w:val="center"/>
          </w:tcPr>
          <w:p w14:paraId="7E0E1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注意事项:</w:t>
            </w:r>
          </w:p>
          <w:p w14:paraId="1B436FE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280" w:leftChars="0" w:firstLine="0" w:firstLine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试点方向需在试点支持的三大方向范围内，围绕国际化消费环境建设，包括但不限于优化涉外支付、提升国际化服务水平、打造国际消费集聚区、入境消费友好型商圈以及地标性消费项目。</w:t>
            </w:r>
          </w:p>
          <w:p w14:paraId="4073189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280" w:leftChars="0" w:firstLine="0" w:firstLine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新建、扩建基础设施不在支持范围内。</w:t>
            </w:r>
          </w:p>
          <w:p w14:paraId="00E2E4A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280" w:leftChars="0" w:firstLine="0" w:firstLine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已列入并享受过其他中央财政资金扶持的项目不能重复申报。</w:t>
            </w:r>
            <w:bookmarkStart w:id="4" w:name="_GoBack"/>
            <w:bookmarkEnd w:id="4"/>
          </w:p>
          <w:p w14:paraId="497DDAD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280" w:leftChars="0" w:firstLine="0" w:firstLine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试点预期成效主要围绕客流量、销售收入、利润、业态丰富度、带动就业人数、消费者满意度、所获荣誉等表述，反映项目实施前后变化。</w:t>
            </w:r>
          </w:p>
          <w:p w14:paraId="7AE60CC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280" w:leftChars="0" w:firstLine="0" w:firstLine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5.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责任部门可以是县级主管部门，或者属地街道、社区。</w:t>
            </w:r>
          </w:p>
          <w:p w14:paraId="53A28C7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280" w:leftChars="0" w:firstLine="0" w:firstLine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6.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实施地点以项目实际地址为准。</w:t>
            </w:r>
          </w:p>
          <w:p w14:paraId="5EEDE1D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exact"/>
              <w:ind w:left="280" w:leftChars="0" w:firstLine="0" w:firstLine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7.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项目资金来源按属性与用途可分为权益资金、债务资金、政府资金、自筹资金、利用外资等。</w:t>
            </w:r>
          </w:p>
        </w:tc>
      </w:tr>
    </w:tbl>
    <w:p w14:paraId="364121D9">
      <w:pPr>
        <w:ind w:left="0" w:leftChars="0" w:firstLine="0" w:firstLineChars="0"/>
        <w:rPr>
          <w:rFonts w:hint="default" w:eastAsia="仿宋_GB2312"/>
          <w:lang w:val="en-US" w:eastAsia="zh-CN"/>
        </w:rPr>
        <w:sectPr>
          <w:pgSz w:w="16838" w:h="11906" w:orient="landscape"/>
          <w:pgMar w:top="1587" w:right="2154" w:bottom="1474" w:left="1984" w:header="851" w:footer="992" w:gutter="0"/>
          <w:pgNumType w:fmt="decimal"/>
          <w:cols w:space="425" w:num="1"/>
          <w:docGrid w:type="lines" w:linePitch="312" w:charSpace="0"/>
        </w:sectPr>
      </w:pPr>
    </w:p>
    <w:p w14:paraId="4E4F41D2">
      <w:pPr>
        <w:pStyle w:val="13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left="0" w:leftChars="0" w:firstLine="0" w:firstLineChars="0"/>
        <w:jc w:val="both"/>
        <w:outlineLvl w:val="0"/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kern w:val="0"/>
          <w:sz w:val="32"/>
          <w:szCs w:val="32"/>
          <w:shd w:val="clear" w:color="auto" w:fill="FFFFFF"/>
          <w:lang w:val="en-US" w:eastAsia="zh-CN" w:bidi="ar-SA"/>
        </w:rPr>
        <w:t>2</w:t>
      </w:r>
    </w:p>
    <w:p w14:paraId="2038E498">
      <w:pPr>
        <w:tabs>
          <w:tab w:val="left" w:pos="5220"/>
        </w:tabs>
        <w:spacing w:beforeLines="0" w:afterLines="0"/>
        <w:ind w:left="0" w:leftChars="0" w:firstLine="0" w:firstLineChars="0"/>
        <w:jc w:val="both"/>
        <w:rPr>
          <w:rFonts w:hint="default" w:ascii="Times New Roman" w:hAnsi="Times New Roman" w:eastAsia="黑体"/>
          <w:sz w:val="52"/>
          <w:szCs w:val="24"/>
        </w:rPr>
      </w:pPr>
    </w:p>
    <w:p w14:paraId="2CFCE32E">
      <w:pPr>
        <w:tabs>
          <w:tab w:val="left" w:pos="5220"/>
        </w:tabs>
        <w:spacing w:beforeLines="0" w:afterLines="0"/>
        <w:ind w:left="0" w:leftChars="0" w:firstLine="0" w:firstLineChars="0"/>
        <w:jc w:val="both"/>
        <w:rPr>
          <w:rFonts w:hint="default" w:ascii="Times New Roman" w:hAnsi="Times New Roman" w:eastAsia="黑体"/>
          <w:sz w:val="52"/>
          <w:szCs w:val="24"/>
        </w:rPr>
      </w:pPr>
    </w:p>
    <w:p w14:paraId="6823600B">
      <w:pPr>
        <w:tabs>
          <w:tab w:val="left" w:pos="5220"/>
        </w:tabs>
        <w:spacing w:before="312" w:beforeLines="100" w:afterLines="0"/>
        <w:ind w:left="0" w:leftChars="0" w:firstLine="0" w:firstLineChars="0"/>
        <w:jc w:val="center"/>
        <w:rPr>
          <w:rFonts w:hint="eastAsia" w:ascii="Times New Roman" w:hAnsi="Times New Roman" w:eastAsia="黑体"/>
          <w:sz w:val="52"/>
          <w:szCs w:val="24"/>
        </w:rPr>
      </w:pPr>
      <w:bookmarkStart w:id="3" w:name="OLE_LINK3"/>
      <w:r>
        <w:rPr>
          <w:rFonts w:hint="eastAsia" w:ascii="Times New Roman" w:hAnsi="Times New Roman" w:eastAsia="黑体"/>
          <w:sz w:val="52"/>
          <w:szCs w:val="24"/>
        </w:rPr>
        <w:t>长沙市国际化消费环境建设</w:t>
      </w:r>
    </w:p>
    <w:p w14:paraId="3D04AD3F">
      <w:pPr>
        <w:tabs>
          <w:tab w:val="left" w:pos="5220"/>
        </w:tabs>
        <w:spacing w:before="312" w:beforeLines="100" w:afterLines="0"/>
        <w:ind w:left="0" w:leftChars="0" w:firstLine="0" w:firstLineChars="0"/>
        <w:jc w:val="center"/>
        <w:rPr>
          <w:rFonts w:hint="default" w:ascii="Times New Roman" w:hAnsi="Times New Roman" w:eastAsia="黑体"/>
          <w:sz w:val="52"/>
          <w:szCs w:val="24"/>
        </w:rPr>
      </w:pPr>
      <w:r>
        <w:rPr>
          <w:rFonts w:hint="eastAsia" w:ascii="Times New Roman" w:hAnsi="Times New Roman" w:eastAsia="黑体"/>
          <w:sz w:val="52"/>
          <w:szCs w:val="24"/>
        </w:rPr>
        <w:t>项目预申报书</w:t>
      </w:r>
    </w:p>
    <w:bookmarkEnd w:id="3"/>
    <w:p w14:paraId="33939444">
      <w:pPr>
        <w:tabs>
          <w:tab w:val="left" w:pos="5220"/>
        </w:tabs>
        <w:spacing w:beforeLines="0" w:afterLines="0"/>
        <w:ind w:left="0" w:leftChars="0" w:firstLine="0" w:firstLineChars="0"/>
        <w:rPr>
          <w:rFonts w:hint="default" w:ascii="Times New Roman" w:hAnsi="Times New Roman" w:eastAsia="仿宋_GB2312"/>
          <w:b/>
          <w:sz w:val="32"/>
          <w:szCs w:val="24"/>
        </w:rPr>
      </w:pPr>
    </w:p>
    <w:p w14:paraId="78BC132C">
      <w:pPr>
        <w:tabs>
          <w:tab w:val="left" w:pos="5220"/>
        </w:tabs>
        <w:spacing w:beforeLines="0" w:afterLines="0"/>
        <w:ind w:left="0" w:leftChars="0" w:firstLine="0" w:firstLineChars="0"/>
        <w:rPr>
          <w:rFonts w:hint="default" w:ascii="Times New Roman" w:hAnsi="Times New Roman" w:eastAsia="仿宋_GB2312"/>
          <w:b/>
          <w:sz w:val="32"/>
          <w:szCs w:val="24"/>
        </w:rPr>
      </w:pPr>
    </w:p>
    <w:p w14:paraId="136AAE15">
      <w:pPr>
        <w:tabs>
          <w:tab w:val="left" w:pos="5220"/>
        </w:tabs>
        <w:spacing w:beforeLines="0" w:afterLines="0"/>
        <w:ind w:left="0" w:leftChars="0" w:firstLine="0" w:firstLineChars="0"/>
        <w:jc w:val="center"/>
        <w:rPr>
          <w:rFonts w:hint="default" w:ascii="Times New Roman" w:hAnsi="Times New Roman" w:eastAsia="仿宋_GB2312"/>
          <w:b/>
          <w:sz w:val="32"/>
          <w:szCs w:val="24"/>
        </w:rPr>
      </w:pPr>
      <w:r>
        <w:rPr>
          <w:rFonts w:hint="eastAsia" w:ascii="黑体" w:hAnsi="黑体" w:eastAsia="黑体" w:cs="黑体"/>
          <w:sz w:val="32"/>
          <w:szCs w:val="32"/>
        </w:rPr>
        <w:t>XXX（项目名称）项目</w:t>
      </w:r>
    </w:p>
    <w:p w14:paraId="53D7A445">
      <w:pPr>
        <w:tabs>
          <w:tab w:val="left" w:pos="5220"/>
        </w:tabs>
        <w:spacing w:beforeLines="0" w:afterLines="0"/>
        <w:ind w:left="0" w:leftChars="0" w:firstLine="0" w:firstLineChars="0"/>
        <w:jc w:val="center"/>
        <w:rPr>
          <w:rFonts w:hint="default" w:ascii="Times New Roman" w:hAnsi="Times New Roman" w:eastAsia="仿宋_GB2312"/>
          <w:b/>
          <w:sz w:val="32"/>
          <w:szCs w:val="24"/>
        </w:rPr>
      </w:pPr>
    </w:p>
    <w:p w14:paraId="76D3896D">
      <w:pPr>
        <w:pStyle w:val="5"/>
        <w:spacing w:beforeLines="0" w:afterLines="0"/>
        <w:ind w:left="0" w:leftChars="0" w:firstLine="0" w:firstLineChars="0"/>
        <w:jc w:val="center"/>
        <w:rPr>
          <w:rFonts w:hint="default" w:eastAsia="黑体"/>
          <w:sz w:val="32"/>
          <w:szCs w:val="24"/>
        </w:rPr>
      </w:pPr>
    </w:p>
    <w:p w14:paraId="2FC47D7F">
      <w:pPr>
        <w:spacing w:beforeLines="0" w:afterLines="0"/>
        <w:ind w:left="0" w:leftChars="0" w:firstLine="0" w:firstLineChars="0"/>
        <w:jc w:val="center"/>
        <w:rPr>
          <w:rFonts w:hint="default" w:ascii="Times New Roman" w:hAnsi="Times New Roman" w:eastAsia="黑体"/>
          <w:sz w:val="32"/>
          <w:szCs w:val="24"/>
        </w:rPr>
      </w:pPr>
    </w:p>
    <w:p w14:paraId="1EA8B904">
      <w:pPr>
        <w:pStyle w:val="5"/>
        <w:spacing w:beforeLines="0" w:afterLines="0"/>
        <w:ind w:left="0" w:leftChars="0" w:firstLine="0" w:firstLineChars="0"/>
        <w:jc w:val="center"/>
        <w:rPr>
          <w:rFonts w:hint="default"/>
          <w:sz w:val="21"/>
          <w:szCs w:val="24"/>
        </w:rPr>
      </w:pPr>
    </w:p>
    <w:p w14:paraId="78C7107D">
      <w:pPr>
        <w:spacing w:beforeLines="0" w:afterLines="0"/>
        <w:ind w:left="0" w:leftChars="0" w:firstLine="0" w:firstLineChars="0"/>
        <w:jc w:val="center"/>
        <w:rPr>
          <w:rFonts w:hint="default" w:ascii="Times New Roman" w:hAnsi="Times New Roman" w:eastAsia="黑体"/>
          <w:sz w:val="32"/>
          <w:szCs w:val="24"/>
        </w:rPr>
      </w:pPr>
    </w:p>
    <w:p w14:paraId="05763E7C">
      <w:pPr>
        <w:spacing w:beforeLines="0" w:afterLines="0"/>
        <w:ind w:left="0" w:leftChars="0" w:firstLine="0" w:firstLineChars="0"/>
        <w:jc w:val="center"/>
        <w:rPr>
          <w:rFonts w:hint="default" w:ascii="Times New Roman" w:hAnsi="Times New Roman" w:eastAsia="黑体"/>
          <w:sz w:val="32"/>
          <w:szCs w:val="24"/>
        </w:rPr>
      </w:pPr>
    </w:p>
    <w:p w14:paraId="7FF7ED14">
      <w:pPr>
        <w:spacing w:beforeLines="0" w:afterLines="0"/>
        <w:ind w:left="0" w:leftChars="0" w:firstLine="0" w:firstLineChars="0"/>
        <w:jc w:val="center"/>
        <w:rPr>
          <w:rFonts w:hint="default" w:ascii="Times New Roman" w:hAnsi="Times New Roman" w:eastAsia="黑体"/>
          <w:sz w:val="32"/>
          <w:szCs w:val="24"/>
        </w:rPr>
      </w:pPr>
    </w:p>
    <w:p w14:paraId="227B7B93">
      <w:pPr>
        <w:spacing w:beforeLines="0" w:afterLines="0"/>
        <w:ind w:left="0" w:leftChars="0" w:firstLine="0" w:firstLineChars="0"/>
        <w:jc w:val="center"/>
        <w:rPr>
          <w:rFonts w:hint="default" w:ascii="Times New Roman" w:hAnsi="Times New Roman" w:eastAsia="黑体"/>
          <w:sz w:val="32"/>
          <w:szCs w:val="24"/>
        </w:rPr>
      </w:pPr>
    </w:p>
    <w:p w14:paraId="27C83CEA">
      <w:pPr>
        <w:spacing w:beforeLines="0" w:afterLines="0"/>
        <w:ind w:left="0" w:leftChars="0" w:firstLine="0" w:firstLineChars="0"/>
        <w:jc w:val="center"/>
        <w:rPr>
          <w:rFonts w:hint="default" w:ascii="Times New Roman" w:hAnsi="Times New Roman" w:eastAsia="黑体"/>
          <w:sz w:val="32"/>
          <w:szCs w:val="24"/>
        </w:rPr>
      </w:pPr>
    </w:p>
    <w:p w14:paraId="093F9F39">
      <w:pPr>
        <w:spacing w:beforeLines="0" w:afterLines="0"/>
        <w:ind w:left="0" w:leftChars="0" w:firstLine="0" w:firstLineChars="0"/>
        <w:jc w:val="both"/>
        <w:rPr>
          <w:rFonts w:hint="default" w:ascii="Times New Roman" w:hAnsi="Times New Roman" w:eastAsia="黑体"/>
          <w:sz w:val="32"/>
          <w:szCs w:val="24"/>
        </w:rPr>
      </w:pPr>
    </w:p>
    <w:p w14:paraId="3D4CDAE4">
      <w:pPr>
        <w:spacing w:beforeLines="0" w:afterLines="0"/>
        <w:ind w:left="0" w:leftChars="0" w:firstLine="0" w:firstLineChars="0"/>
        <w:jc w:val="center"/>
        <w:rPr>
          <w:rFonts w:hint="default" w:ascii="Times New Roman" w:hAnsi="Times New Roman" w:eastAsia="黑体"/>
          <w:sz w:val="32"/>
          <w:szCs w:val="24"/>
        </w:rPr>
      </w:pPr>
    </w:p>
    <w:p w14:paraId="7BDF1B40">
      <w:pPr>
        <w:spacing w:beforeLines="0" w:afterLines="0"/>
        <w:ind w:left="0" w:leftChars="0" w:firstLine="0" w:firstLineChars="0"/>
        <w:jc w:val="center"/>
        <w:rPr>
          <w:rFonts w:hint="default" w:ascii="Times New Roman" w:hAnsi="Times New Roman" w:eastAsia="黑体"/>
          <w:sz w:val="32"/>
          <w:szCs w:val="24"/>
        </w:rPr>
      </w:pPr>
    </w:p>
    <w:p w14:paraId="063EDA09">
      <w:pPr>
        <w:spacing w:beforeLines="0" w:afterLines="0"/>
        <w:ind w:left="0" w:leftChars="0" w:firstLine="0" w:firstLineChars="0"/>
        <w:jc w:val="center"/>
        <w:rPr>
          <w:rFonts w:hint="default" w:ascii="Times New Roman" w:hAnsi="Times New Roman" w:eastAsia="黑体"/>
          <w:sz w:val="32"/>
          <w:szCs w:val="24"/>
        </w:rPr>
      </w:pPr>
      <w:r>
        <w:rPr>
          <w:rFonts w:hint="eastAsia" w:ascii="Times New Roman" w:hAnsi="Times New Roman" w:eastAsia="黑体"/>
          <w:sz w:val="32"/>
          <w:szCs w:val="24"/>
        </w:rPr>
        <w:t>企业名称（盖章）：</w:t>
      </w:r>
    </w:p>
    <w:p w14:paraId="785EDD45">
      <w:pPr>
        <w:spacing w:beforeLines="0" w:afterLines="0"/>
        <w:ind w:left="0" w:leftChars="0" w:firstLine="0" w:firstLineChars="0"/>
        <w:jc w:val="center"/>
        <w:rPr>
          <w:rFonts w:hint="eastAsia" w:ascii="Times New Roman" w:hAnsi="Times New Roman" w:eastAsia="黑体"/>
          <w:sz w:val="32"/>
          <w:szCs w:val="24"/>
        </w:rPr>
      </w:pPr>
      <w:r>
        <w:rPr>
          <w:rFonts w:hint="eastAsia" w:ascii="Times New Roman" w:hAnsi="Times New Roman" w:eastAsia="黑体"/>
          <w:sz w:val="32"/>
          <w:szCs w:val="24"/>
        </w:rPr>
        <w:t>申报日期：202  年    月    日</w:t>
      </w:r>
    </w:p>
    <w:p w14:paraId="1F37985E">
      <w:pPr>
        <w:ind w:left="0" w:leftChars="0" w:firstLine="0" w:firstLineChars="0"/>
        <w:rPr>
          <w:rFonts w:hint="default" w:ascii="Times New Roman" w:hAnsi="Times New Roman" w:eastAsia="黑体"/>
          <w:sz w:val="32"/>
          <w:szCs w:val="24"/>
        </w:rPr>
      </w:pPr>
      <w:r>
        <w:rPr>
          <w:rFonts w:hint="eastAsia" w:ascii="Times New Roman" w:hAnsi="Times New Roman" w:eastAsia="黑体"/>
          <w:sz w:val="32"/>
          <w:szCs w:val="24"/>
        </w:rPr>
        <w:br w:type="page"/>
      </w:r>
    </w:p>
    <w:tbl>
      <w:tblPr>
        <w:tblStyle w:val="14"/>
        <w:tblW w:w="83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0"/>
      </w:tblGrid>
      <w:tr w14:paraId="38D3A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3" w:hRule="atLeast"/>
          <w:jc w:val="center"/>
        </w:trPr>
        <w:tc>
          <w:tcPr>
            <w:tcW w:w="8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76041DF">
            <w:pPr>
              <w:widowControl/>
              <w:snapToGrid w:val="0"/>
              <w:spacing w:before="62" w:beforeLines="20" w:afterLines="0"/>
              <w:ind w:left="0" w:leftChars="0" w:firstLine="0" w:firstLineChars="0"/>
              <w:jc w:val="center"/>
              <w:rPr>
                <w:rFonts w:hint="eastAsia" w:ascii="Times New Roman" w:hAnsi="Times New Roman" w:eastAsia="仿宋_GB2312"/>
                <w:sz w:val="48"/>
                <w:szCs w:val="24"/>
              </w:rPr>
            </w:pPr>
          </w:p>
          <w:p w14:paraId="28830825">
            <w:pPr>
              <w:widowControl/>
              <w:snapToGrid w:val="0"/>
              <w:spacing w:before="62" w:beforeLines="20" w:afterLines="0"/>
              <w:ind w:left="0" w:leftChars="0" w:firstLine="0" w:firstLineChars="0"/>
              <w:jc w:val="center"/>
              <w:rPr>
                <w:rFonts w:hint="eastAsia" w:ascii="Times New Roman" w:hAnsi="Times New Roman" w:eastAsia="仿宋_GB2312"/>
                <w:sz w:val="48"/>
                <w:szCs w:val="24"/>
              </w:rPr>
            </w:pPr>
          </w:p>
          <w:p w14:paraId="112E6F1F">
            <w:pPr>
              <w:widowControl/>
              <w:snapToGrid w:val="0"/>
              <w:spacing w:before="62" w:beforeLines="20" w:afterLines="0"/>
              <w:ind w:left="0" w:leftChars="0" w:firstLine="0" w:firstLineChars="0"/>
              <w:jc w:val="center"/>
              <w:rPr>
                <w:rFonts w:hint="default" w:ascii="Times New Roman" w:hAnsi="Times New Roman" w:eastAsia="仿宋_GB2312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/>
                <w:sz w:val="48"/>
                <w:szCs w:val="24"/>
              </w:rPr>
              <w:t>承诺书</w:t>
            </w:r>
          </w:p>
          <w:p w14:paraId="57FAE6C2">
            <w:pPr>
              <w:widowControl/>
              <w:spacing w:beforeLines="0" w:afterLines="0"/>
              <w:ind w:firstLine="560" w:firstLineChars="200"/>
              <w:jc w:val="center"/>
              <w:rPr>
                <w:rFonts w:hint="default" w:ascii="Times New Roman" w:hAnsi="Times New Roman" w:eastAsia="仿宋_GB2312"/>
                <w:kern w:val="0"/>
                <w:sz w:val="28"/>
                <w:szCs w:val="24"/>
              </w:rPr>
            </w:pPr>
          </w:p>
          <w:p w14:paraId="0B588A02">
            <w:pPr>
              <w:widowControl/>
              <w:spacing w:beforeLines="0" w:afterLines="0"/>
              <w:ind w:firstLine="560" w:firstLineChars="200"/>
              <w:jc w:val="both"/>
              <w:rPr>
                <w:rFonts w:hint="default" w:ascii="Times New Roman" w:hAnsi="Times New Roman" w:eastAsia="仿宋_GB2312"/>
                <w:kern w:val="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4"/>
              </w:rPr>
              <w:t>我单位申报的所有材料，均真实、完整，如有不实，愿承担相应责任。在补贴申报过程中，接受相关监督和管理。补贴资金拨付服从市商务局及相关部门统一管理和调度。</w:t>
            </w:r>
          </w:p>
          <w:p w14:paraId="18F4E318">
            <w:pPr>
              <w:widowControl/>
              <w:wordWrap w:val="0"/>
              <w:spacing w:beforeLines="0" w:afterLines="0" w:line="360" w:lineRule="auto"/>
              <w:jc w:val="both"/>
              <w:rPr>
                <w:rFonts w:hint="default" w:ascii="Times New Roman" w:hAnsi="Times New Roman" w:eastAsia="仿宋_GB2312"/>
                <w:kern w:val="0"/>
                <w:sz w:val="28"/>
                <w:szCs w:val="24"/>
              </w:rPr>
            </w:pPr>
          </w:p>
          <w:p w14:paraId="30CC4B38">
            <w:pPr>
              <w:widowControl/>
              <w:wordWrap w:val="0"/>
              <w:spacing w:beforeLines="0" w:afterLines="0" w:line="360" w:lineRule="auto"/>
              <w:jc w:val="both"/>
              <w:rPr>
                <w:rFonts w:hint="default" w:ascii="Times New Roman" w:hAnsi="Times New Roman" w:eastAsia="仿宋_GB2312"/>
                <w:kern w:val="0"/>
                <w:sz w:val="28"/>
                <w:szCs w:val="24"/>
              </w:rPr>
            </w:pPr>
          </w:p>
          <w:p w14:paraId="7D9F1375">
            <w:pPr>
              <w:widowControl/>
              <w:wordWrap w:val="0"/>
              <w:spacing w:beforeLines="0" w:afterLines="0" w:line="360" w:lineRule="auto"/>
              <w:jc w:val="both"/>
              <w:rPr>
                <w:rFonts w:hint="default" w:ascii="Times New Roman" w:hAnsi="Times New Roman" w:eastAsia="仿宋_GB2312"/>
                <w:kern w:val="0"/>
                <w:sz w:val="28"/>
                <w:szCs w:val="24"/>
              </w:rPr>
            </w:pPr>
          </w:p>
          <w:p w14:paraId="39456FF8">
            <w:pPr>
              <w:widowControl/>
              <w:wordWrap w:val="0"/>
              <w:spacing w:beforeLines="0" w:afterLines="0" w:line="360" w:lineRule="auto"/>
              <w:jc w:val="both"/>
              <w:rPr>
                <w:rFonts w:hint="default" w:ascii="Times New Roman" w:hAnsi="Times New Roman" w:eastAsia="仿宋_GB2312"/>
                <w:kern w:val="0"/>
                <w:sz w:val="28"/>
                <w:szCs w:val="24"/>
              </w:rPr>
            </w:pPr>
          </w:p>
          <w:p w14:paraId="3E962C51">
            <w:pPr>
              <w:widowControl/>
              <w:wordWrap w:val="0"/>
              <w:spacing w:beforeLines="0" w:afterLines="0" w:line="360" w:lineRule="auto"/>
              <w:jc w:val="both"/>
              <w:rPr>
                <w:rFonts w:hint="default" w:ascii="Times New Roman" w:hAnsi="Times New Roman" w:eastAsia="仿宋_GB2312"/>
                <w:kern w:val="0"/>
                <w:sz w:val="28"/>
                <w:szCs w:val="24"/>
              </w:rPr>
            </w:pPr>
          </w:p>
          <w:p w14:paraId="1BFF9CFB">
            <w:pPr>
              <w:widowControl/>
              <w:wordWrap w:val="0"/>
              <w:spacing w:beforeLines="0" w:afterLines="0" w:line="360" w:lineRule="auto"/>
              <w:jc w:val="both"/>
              <w:rPr>
                <w:rFonts w:hint="default" w:ascii="Times New Roman" w:hAnsi="Times New Roman" w:eastAsia="仿宋_GB2312"/>
                <w:kern w:val="0"/>
                <w:sz w:val="28"/>
                <w:szCs w:val="24"/>
              </w:rPr>
            </w:pPr>
          </w:p>
          <w:p w14:paraId="7878A86E">
            <w:pPr>
              <w:widowControl/>
              <w:wordWrap w:val="0"/>
              <w:spacing w:beforeLines="0" w:afterLines="0" w:line="360" w:lineRule="auto"/>
              <w:jc w:val="both"/>
              <w:rPr>
                <w:rFonts w:hint="default" w:ascii="Times New Roman" w:hAnsi="Times New Roman" w:eastAsia="仿宋_GB2312"/>
                <w:kern w:val="0"/>
                <w:sz w:val="28"/>
                <w:szCs w:val="24"/>
              </w:rPr>
            </w:pPr>
          </w:p>
          <w:p w14:paraId="6EEF9CE6">
            <w:pPr>
              <w:widowControl/>
              <w:wordWrap w:val="0"/>
              <w:spacing w:beforeLines="0" w:afterLines="0" w:line="360" w:lineRule="auto"/>
              <w:ind w:left="0" w:leftChars="0" w:firstLine="0" w:firstLineChars="0"/>
              <w:jc w:val="both"/>
              <w:rPr>
                <w:rFonts w:hint="default" w:ascii="Times New Roman" w:hAnsi="Times New Roman" w:eastAsia="仿宋_GB2312"/>
                <w:kern w:val="0"/>
                <w:sz w:val="28"/>
                <w:szCs w:val="24"/>
              </w:rPr>
            </w:pPr>
          </w:p>
          <w:p w14:paraId="352B9A1C">
            <w:pPr>
              <w:widowControl/>
              <w:wordWrap w:val="0"/>
              <w:spacing w:beforeLines="0" w:afterLines="0" w:line="360" w:lineRule="auto"/>
              <w:jc w:val="both"/>
              <w:rPr>
                <w:rFonts w:hint="default" w:ascii="Times New Roman" w:hAnsi="Times New Roman" w:eastAsia="仿宋_GB2312"/>
                <w:kern w:val="0"/>
                <w:sz w:val="28"/>
                <w:szCs w:val="24"/>
              </w:rPr>
            </w:pPr>
          </w:p>
          <w:p w14:paraId="4F5F94E2">
            <w:pPr>
              <w:widowControl/>
              <w:wordWrap w:val="0"/>
              <w:spacing w:beforeLines="0" w:afterLines="0" w:line="360" w:lineRule="auto"/>
              <w:jc w:val="right"/>
              <w:rPr>
                <w:rFonts w:hint="default" w:ascii="Times New Roman" w:hAnsi="Times New Roman" w:eastAsia="仿宋_GB2312"/>
                <w:kern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4"/>
              </w:rPr>
              <w:t>法定代表人签字：</w:t>
            </w:r>
            <w:r>
              <w:rPr>
                <w:rFonts w:hint="eastAsia"/>
                <w:kern w:val="0"/>
                <w:sz w:val="28"/>
                <w:szCs w:val="24"/>
                <w:lang w:val="en-US" w:eastAsia="zh-CN"/>
              </w:rPr>
              <w:t xml:space="preserve">              </w:t>
            </w:r>
          </w:p>
          <w:p w14:paraId="53BD1736">
            <w:pPr>
              <w:widowControl/>
              <w:wordWrap w:val="0"/>
              <w:spacing w:beforeLines="0" w:afterLines="0" w:line="360" w:lineRule="auto"/>
              <w:jc w:val="right"/>
              <w:rPr>
                <w:rFonts w:hint="default" w:ascii="Times New Roman" w:hAnsi="Times New Roman" w:eastAsia="仿宋_GB2312"/>
                <w:kern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4"/>
              </w:rPr>
              <w:t>公          章：</w:t>
            </w:r>
            <w:r>
              <w:rPr>
                <w:rFonts w:hint="eastAsia"/>
                <w:kern w:val="0"/>
                <w:sz w:val="28"/>
                <w:szCs w:val="24"/>
                <w:lang w:val="en-US" w:eastAsia="zh-CN"/>
              </w:rPr>
              <w:t xml:space="preserve">              </w:t>
            </w:r>
          </w:p>
          <w:p w14:paraId="2CCAA644">
            <w:pPr>
              <w:widowControl/>
              <w:spacing w:beforeLines="0" w:afterLines="0"/>
              <w:jc w:val="right"/>
              <w:rPr>
                <w:rFonts w:hint="eastAsia" w:ascii="Times New Roman" w:hAnsi="Times New Roman" w:eastAsia="仿宋_GB2312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4"/>
              </w:rPr>
              <w:t xml:space="preserve">年     月   </w:t>
            </w:r>
            <w:r>
              <w:rPr>
                <w:rFonts w:hint="eastAsia"/>
                <w:sz w:val="28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8"/>
                <w:szCs w:val="24"/>
              </w:rPr>
              <w:t xml:space="preserve"> 日</w:t>
            </w:r>
          </w:p>
          <w:p w14:paraId="2711FF65">
            <w:pPr>
              <w:widowControl/>
              <w:spacing w:beforeLines="0" w:afterLines="0"/>
              <w:jc w:val="right"/>
              <w:rPr>
                <w:rFonts w:hint="eastAsia" w:ascii="Times New Roman" w:hAnsi="Times New Roman" w:eastAsia="仿宋_GB2312"/>
                <w:sz w:val="28"/>
                <w:szCs w:val="24"/>
              </w:rPr>
            </w:pPr>
          </w:p>
          <w:p w14:paraId="1BB1FA6C">
            <w:pPr>
              <w:widowControl/>
              <w:spacing w:beforeLines="0" w:afterLines="0"/>
              <w:jc w:val="right"/>
              <w:rPr>
                <w:rFonts w:hint="default" w:ascii="Times New Roman" w:hAnsi="Times New Roman" w:eastAsia="仿宋_GB2312"/>
                <w:sz w:val="28"/>
                <w:szCs w:val="24"/>
              </w:rPr>
            </w:pPr>
          </w:p>
        </w:tc>
      </w:tr>
    </w:tbl>
    <w:p w14:paraId="02CA71CD">
      <w:pPr>
        <w:rPr>
          <w:rFonts w:hint="eastAsia" w:ascii="Times New Roman" w:hAnsi="Times New Roman" w:eastAsia="黑体"/>
          <w:sz w:val="32"/>
          <w:szCs w:val="24"/>
        </w:rPr>
      </w:pPr>
      <w:r>
        <w:rPr>
          <w:rFonts w:hint="eastAsia" w:ascii="Times New Roman" w:hAnsi="Times New Roman" w:eastAsia="黑体"/>
          <w:sz w:val="32"/>
          <w:szCs w:val="24"/>
        </w:rPr>
        <w:br w:type="page"/>
      </w:r>
    </w:p>
    <w:p w14:paraId="0C8EDFCF">
      <w:pPr>
        <w:snapToGrid w:val="0"/>
        <w:spacing w:beforeLines="0" w:afterLines="0" w:line="360" w:lineRule="auto"/>
        <w:ind w:left="0" w:leftChars="0" w:firstLine="640" w:firstLineChars="200"/>
        <w:rPr>
          <w:rFonts w:hint="eastAsia" w:ascii="Times New Roman" w:hAnsi="Times New Roman" w:eastAsia="黑体"/>
          <w:snapToGrid w:val="0"/>
          <w:spacing w:val="2"/>
          <w:sz w:val="32"/>
          <w:szCs w:val="24"/>
        </w:rPr>
      </w:pPr>
      <w:r>
        <w:rPr>
          <w:rFonts w:hint="eastAsia" w:ascii="Times New Roman" w:hAnsi="Times New Roman" w:eastAsia="黑体"/>
          <w:sz w:val="32"/>
          <w:szCs w:val="24"/>
        </w:rPr>
        <w:t>一、企业基本信息表</w:t>
      </w:r>
    </w:p>
    <w:tbl>
      <w:tblPr>
        <w:tblStyle w:val="14"/>
        <w:tblW w:w="8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630"/>
        <w:gridCol w:w="1220"/>
        <w:gridCol w:w="1790"/>
        <w:gridCol w:w="400"/>
        <w:gridCol w:w="1038"/>
        <w:gridCol w:w="732"/>
        <w:gridCol w:w="1640"/>
      </w:tblGrid>
      <w:tr w14:paraId="47E11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37D13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企业名称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4DA7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</w:tr>
      <w:tr w14:paraId="2018B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F61DD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组织机构代码</w:t>
            </w:r>
          </w:p>
        </w:tc>
        <w:tc>
          <w:tcPr>
            <w:tcW w:w="3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278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6F5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成立时间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DE70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</w:tr>
      <w:tr w14:paraId="67AA7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A9B90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企业性质</w:t>
            </w:r>
          </w:p>
        </w:tc>
        <w:tc>
          <w:tcPr>
            <w:tcW w:w="3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6D85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□国有  □民营  □外资  □其他</w:t>
            </w: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0392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员工数（人）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2DE4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</w:tr>
      <w:tr w14:paraId="254B7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46430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单位地址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E4A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</w:tr>
      <w:tr w14:paraId="27B2D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4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CEFC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联系人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2C07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姓名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D6FB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17CB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固定电话</w:t>
            </w:r>
          </w:p>
        </w:tc>
        <w:tc>
          <w:tcPr>
            <w:tcW w:w="2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90DE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</w:tr>
      <w:tr w14:paraId="66898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4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A29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95B1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职务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710C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3FCA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手机</w:t>
            </w:r>
          </w:p>
        </w:tc>
        <w:tc>
          <w:tcPr>
            <w:tcW w:w="2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D1C2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</w:tr>
      <w:tr w14:paraId="7DF35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2011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总资产（万元）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939A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2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E196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注册资金（万元）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45C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</w:tr>
      <w:tr w14:paraId="0BF84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9729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法定代表人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E186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2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25FF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上年营业收入（万元）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FE3F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</w:tr>
      <w:tr w14:paraId="620EE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E686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color w:val="0000FF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企业规模</w:t>
            </w:r>
          </w:p>
        </w:tc>
        <w:tc>
          <w:tcPr>
            <w:tcW w:w="5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D240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jc w:val="left"/>
              <w:textAlignment w:val="auto"/>
              <w:rPr>
                <w:rFonts w:hint="eastAsia" w:ascii="仿宋" w:hAnsi="仿宋" w:eastAsia="仿宋"/>
                <w:b/>
                <w:color w:val="0000FF"/>
                <w:sz w:val="21"/>
                <w:szCs w:val="24"/>
              </w:rPr>
            </w:pPr>
            <w:r>
              <w:rPr>
                <w:rFonts w:hint="eastAsia" w:ascii="仿宋" w:hAnsi="仿宋" w:eastAsia="仿宋"/>
                <w:sz w:val="21"/>
                <w:szCs w:val="24"/>
              </w:rPr>
              <w:t>（年营收等相关数据、排名等）</w:t>
            </w:r>
          </w:p>
        </w:tc>
      </w:tr>
      <w:tr w14:paraId="5D932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4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FD85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企</w:t>
            </w:r>
          </w:p>
          <w:p w14:paraId="48770B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业</w:t>
            </w:r>
          </w:p>
          <w:p w14:paraId="3B2C36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简</w:t>
            </w:r>
          </w:p>
          <w:p w14:paraId="3ED1B1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介</w:t>
            </w:r>
          </w:p>
        </w:tc>
        <w:tc>
          <w:tcPr>
            <w:tcW w:w="74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F98A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（发展历程、市场地位或特色、主营业务、销售规模、建设发展规划等方面基本情况，限400字）</w:t>
            </w:r>
          </w:p>
          <w:p w14:paraId="0654D8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Lines="0" w:line="240" w:lineRule="auto"/>
              <w:jc w:val="left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</w:tr>
    </w:tbl>
    <w:p w14:paraId="01CD7A75">
      <w:pPr>
        <w:snapToGrid w:val="0"/>
        <w:spacing w:beforeLines="0" w:afterLines="0" w:line="360" w:lineRule="auto"/>
        <w:rPr>
          <w:rFonts w:hint="eastAsia" w:ascii="Times New Roman" w:hAnsi="Times New Roman" w:eastAsia="黑体"/>
          <w:sz w:val="32"/>
          <w:szCs w:val="24"/>
        </w:rPr>
      </w:pPr>
      <w:r>
        <w:rPr>
          <w:rFonts w:hint="default" w:ascii="Times New Roman" w:hAnsi="Times New Roman" w:eastAsia="黑体"/>
          <w:sz w:val="32"/>
          <w:szCs w:val="24"/>
        </w:rPr>
        <w:br w:type="page"/>
      </w:r>
      <w:r>
        <w:rPr>
          <w:rFonts w:hint="eastAsia" w:ascii="Times New Roman" w:hAnsi="Times New Roman" w:eastAsia="黑体"/>
          <w:sz w:val="32"/>
          <w:szCs w:val="24"/>
        </w:rPr>
        <w:t>二、项目申报情况表</w:t>
      </w:r>
    </w:p>
    <w:tbl>
      <w:tblPr>
        <w:tblStyle w:val="14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640"/>
        <w:gridCol w:w="2037"/>
        <w:gridCol w:w="2653"/>
      </w:tblGrid>
      <w:tr w14:paraId="595DE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347C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项目名称</w:t>
            </w:r>
          </w:p>
        </w:tc>
        <w:tc>
          <w:tcPr>
            <w:tcW w:w="7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5615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</w:tr>
      <w:tr w14:paraId="67832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79A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试点方向</w:t>
            </w:r>
          </w:p>
        </w:tc>
        <w:tc>
          <w:tcPr>
            <w:tcW w:w="7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6EC1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按申报通知的3个支持方向填写，可参照附件1注意事项中相关要求</w:t>
            </w:r>
          </w:p>
        </w:tc>
      </w:tr>
      <w:tr w14:paraId="0956C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0863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拟报项目享受其他政策扶持情况</w:t>
            </w:r>
          </w:p>
        </w:tc>
        <w:tc>
          <w:tcPr>
            <w:tcW w:w="7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527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是否纳入县域商业体系建设政策扶持 □是  □否</w:t>
            </w:r>
          </w:p>
          <w:p w14:paraId="603B48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是否纳入保供体系建设政策扶持 □是  □否</w:t>
            </w:r>
          </w:p>
          <w:p w14:paraId="5FA35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是否纳入现代商贸流通体系试点政策扶持 □是  □否</w:t>
            </w:r>
          </w:p>
          <w:p w14:paraId="12134C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是否享受其他政策扶持 □是  □否（ 如有，填写相关政策名称）</w:t>
            </w:r>
          </w:p>
          <w:p w14:paraId="2EFAEA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同一项目不得重复申请中央补助资金。</w:t>
            </w:r>
          </w:p>
        </w:tc>
      </w:tr>
      <w:tr w14:paraId="18AA4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00BA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建设起止时间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42E7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2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1EF9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项目总投资（万元）</w:t>
            </w:r>
          </w:p>
        </w:tc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C14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</w:tr>
      <w:tr w14:paraId="74852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D906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拟申请补贴的投资金额（万元）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509B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2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8AA4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hanging="211" w:hangingChars="10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项目所在地</w:t>
            </w:r>
          </w:p>
          <w:p w14:paraId="2A3AEA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hanging="211" w:hangingChars="10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（填写具体位置）</w:t>
            </w:r>
          </w:p>
        </w:tc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B638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</w:tr>
      <w:tr w14:paraId="63FEE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4" w:hRule="atLeast"/>
          <w:jc w:val="center"/>
        </w:trPr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9F63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项目具体情况</w:t>
            </w:r>
          </w:p>
        </w:tc>
        <w:tc>
          <w:tcPr>
            <w:tcW w:w="7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EED22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项目具体情况描述尽可能具体详实，如分期建设，应包含项目分阶段投资建设情况，字数在2000字以内。</w:t>
            </w:r>
            <w:r>
              <w:rPr>
                <w:rFonts w:hint="eastAsia" w:ascii="仿宋" w:hAnsi="仿宋" w:eastAsia="仿宋"/>
                <w:b/>
                <w:sz w:val="21"/>
                <w:szCs w:val="24"/>
                <w:lang w:eastAsia="zh-CN"/>
              </w:rPr>
              <w:t>）</w:t>
            </w:r>
          </w:p>
        </w:tc>
      </w:tr>
      <w:tr w14:paraId="3A28E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F725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预期目标</w:t>
            </w:r>
          </w:p>
        </w:tc>
        <w:tc>
          <w:tcPr>
            <w:tcW w:w="7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054E0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需包含项目建设前后相关客流量、营业额、利润等前后预期数据比对。比如，同比增加x%.字数在1000字以内。</w:t>
            </w:r>
            <w:r>
              <w:rPr>
                <w:rFonts w:hint="eastAsia" w:ascii="仿宋" w:hAnsi="仿宋" w:eastAsia="仿宋"/>
                <w:b/>
                <w:sz w:val="21"/>
                <w:szCs w:val="24"/>
                <w:lang w:eastAsia="zh-CN"/>
              </w:rPr>
              <w:t>）</w:t>
            </w:r>
          </w:p>
        </w:tc>
      </w:tr>
      <w:tr w14:paraId="62E1B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206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建成后运营计划</w:t>
            </w:r>
          </w:p>
        </w:tc>
        <w:tc>
          <w:tcPr>
            <w:tcW w:w="7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37D7E1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320" w:lineRule="exact"/>
              <w:ind w:left="0" w:firstLine="0" w:firstLineChars="0"/>
              <w:jc w:val="both"/>
              <w:textAlignment w:val="auto"/>
              <w:rPr>
                <w:rFonts w:hint="eastAsia" w:ascii="仿宋" w:hAnsi="仿宋" w:eastAsia="仿宋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字数在1000字以内。</w:t>
            </w:r>
            <w:r>
              <w:rPr>
                <w:rFonts w:hint="eastAsia" w:ascii="仿宋" w:hAnsi="仿宋" w:eastAsia="仿宋"/>
                <w:b/>
                <w:sz w:val="21"/>
                <w:szCs w:val="24"/>
                <w:lang w:eastAsia="zh-CN"/>
              </w:rPr>
              <w:t>）</w:t>
            </w:r>
          </w:p>
        </w:tc>
      </w:tr>
      <w:tr w14:paraId="483DD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D6D6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评审意见</w:t>
            </w:r>
          </w:p>
        </w:tc>
        <w:tc>
          <w:tcPr>
            <w:tcW w:w="7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B0F5C4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0" w:line="320" w:lineRule="exact"/>
              <w:ind w:left="0" w:firstLine="420"/>
              <w:jc w:val="both"/>
              <w:textAlignment w:val="auto"/>
              <w:rPr>
                <w:rFonts w:hint="eastAsia" w:ascii="仿宋" w:hAnsi="仿宋" w:eastAsia="仿宋"/>
                <w:sz w:val="21"/>
                <w:szCs w:val="24"/>
              </w:rPr>
            </w:pPr>
          </w:p>
        </w:tc>
      </w:tr>
    </w:tbl>
    <w:p w14:paraId="0DD1D087">
      <w:pPr>
        <w:snapToGrid w:val="0"/>
        <w:spacing w:beforeLines="0" w:afterLines="0" w:line="360" w:lineRule="auto"/>
        <w:rPr>
          <w:rFonts w:hint="eastAsia" w:ascii="Times New Roman" w:hAnsi="Times New Roman" w:eastAsia="黑体"/>
          <w:sz w:val="32"/>
          <w:szCs w:val="24"/>
        </w:rPr>
      </w:pPr>
      <w:r>
        <w:rPr>
          <w:rFonts w:hint="eastAsia" w:ascii="Times New Roman" w:hAnsi="Times New Roman" w:eastAsia="黑体"/>
          <w:sz w:val="32"/>
          <w:szCs w:val="24"/>
        </w:rPr>
        <w:t>三、企业绩效评价表</w:t>
      </w:r>
    </w:p>
    <w:tbl>
      <w:tblPr>
        <w:tblStyle w:val="14"/>
        <w:tblW w:w="92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8"/>
        <w:gridCol w:w="2666"/>
        <w:gridCol w:w="1865"/>
        <w:gridCol w:w="1865"/>
        <w:gridCol w:w="1865"/>
      </w:tblGrid>
      <w:tr w14:paraId="157F8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3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3657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主要指标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DDFF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2025年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A48F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2026年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ED76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2027年</w:t>
            </w:r>
          </w:p>
        </w:tc>
      </w:tr>
      <w:tr w14:paraId="1609A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5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15B0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产出指标</w:t>
            </w:r>
          </w:p>
        </w:tc>
        <w:tc>
          <w:tcPr>
            <w:tcW w:w="2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40AE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数量指标</w:t>
            </w:r>
          </w:p>
          <w:p w14:paraId="0309E6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（建设门店x家，引入品牌/项目x个，新增业态x种，以及其他项目相关评价指标）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BF18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F878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E7A8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</w:tr>
      <w:tr w14:paraId="46C8A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0" w:hRule="atLeast"/>
          <w:jc w:val="center"/>
        </w:trPr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9EF6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2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FC63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质量指标</w:t>
            </w:r>
          </w:p>
          <w:p w14:paraId="00DA44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（项目辐射范围，业态丰富程度，上报案例做法x个，获得相关奖励x次，以及其他项目相关评价指标）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99BF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5F50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296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</w:tr>
      <w:tr w14:paraId="4D20A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9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491A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效益指标</w:t>
            </w:r>
          </w:p>
        </w:tc>
        <w:tc>
          <w:tcPr>
            <w:tcW w:w="2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191D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经济效益</w:t>
            </w:r>
          </w:p>
          <w:p w14:paraId="77395B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（项目带动就业人数x人，销售额，利润额，客单价，以及其他项目相关评价指标）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0020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CD23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017A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</w:tr>
      <w:tr w14:paraId="40F21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9" w:hRule="atLeast"/>
          <w:jc w:val="center"/>
        </w:trPr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87AD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2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4E84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社会效益</w:t>
            </w:r>
          </w:p>
          <w:p w14:paraId="7C1C2E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sz w:val="21"/>
                <w:szCs w:val="24"/>
              </w:rPr>
              <w:t>（项目拉动社会投资倍数，国际化消费供给能力，消费者满意度，以及其他项目相关评价指标）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5A8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059A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2161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0" w:line="360" w:lineRule="exact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4"/>
              </w:rPr>
            </w:pPr>
          </w:p>
        </w:tc>
      </w:tr>
    </w:tbl>
    <w:p w14:paraId="63E36863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</w:p>
    <w:p w14:paraId="1C0DAA6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579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四、具体证明材料</w:t>
      </w:r>
    </w:p>
    <w:p w14:paraId="21536D0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579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1、企业营业执照等复印件；</w:t>
      </w:r>
    </w:p>
    <w:p w14:paraId="16182FD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579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2、设计方案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或项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目审批书；</w:t>
      </w:r>
    </w:p>
    <w:p w14:paraId="78CAC76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579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3、施工合同协议复印件等；</w:t>
      </w:r>
    </w:p>
    <w:p w14:paraId="2A9F039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579" w:lineRule="exact"/>
        <w:textAlignment w:val="auto"/>
        <w:rPr>
          <w:rFonts w:hint="default" w:ascii="Times New Roman" w:hAnsi="Times New Roman" w:eastAsia="仿宋_GB2312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4、申报企业可提供的其他相关材料。</w:t>
      </w:r>
    </w:p>
    <w:sectPr>
      <w:pgSz w:w="11906" w:h="16838"/>
      <w:pgMar w:top="2154" w:right="1474" w:bottom="1984" w:left="1587" w:header="720" w:footer="1417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2B6A204-F0F1-46C8-B9A1-F755414DB42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A8A31EE-A4FF-406A-A1B9-2938B2F47690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E45B94F-FA11-423F-84B3-38915384EA84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2D0FC834-E6EA-41E9-9E8C-CFC98067FE5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7D785AD2-5339-4E41-BE99-6617E2D757E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AA5C5ADA-65F9-4194-AC1C-870C3ABA11C7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7" w:fontKey="{BB5F3643-812E-4331-83DD-1870CDBEC665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6CB1B8">
    <w:pPr>
      <w:pStyle w:val="9"/>
      <w:ind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E6B36C4">
                          <w:pPr>
                            <w:pStyle w:val="9"/>
                            <w:ind w:left="0" w:leftChars="0" w:firstLine="0" w:firstLineChars="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E6B36C4">
                    <w:pPr>
                      <w:pStyle w:val="9"/>
                      <w:ind w:left="0" w:leftChars="0" w:firstLine="0" w:firstLineChars="0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8F4319"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6DFA07">
    <w:pPr>
      <w:pStyle w:val="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974AA2">
    <w:pPr>
      <w:pStyle w:val="10"/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A8E7">
    <w:pPr>
      <w:pStyle w:val="10"/>
      <w:ind w:firstLine="4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5FE2B4">
    <w:pPr>
      <w:pStyle w:val="10"/>
      <w:ind w:firstLine="4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9FF881"/>
    <w:multiLevelType w:val="singleLevel"/>
    <w:tmpl w:val="F19FF88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14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xNDQxNDhjMGQyMTVmMzg0ODhkODM1ZDAxZDIzZjkifQ=="/>
  </w:docVars>
  <w:rsids>
    <w:rsidRoot w:val="6F602CF5"/>
    <w:rsid w:val="00141F26"/>
    <w:rsid w:val="001616E0"/>
    <w:rsid w:val="001B598D"/>
    <w:rsid w:val="002E6090"/>
    <w:rsid w:val="00315B56"/>
    <w:rsid w:val="00354935"/>
    <w:rsid w:val="00384B9C"/>
    <w:rsid w:val="003C3B45"/>
    <w:rsid w:val="0064267F"/>
    <w:rsid w:val="0068619E"/>
    <w:rsid w:val="006A21CB"/>
    <w:rsid w:val="006B7DE8"/>
    <w:rsid w:val="006F0F45"/>
    <w:rsid w:val="006F552A"/>
    <w:rsid w:val="00787E3D"/>
    <w:rsid w:val="007C0F2D"/>
    <w:rsid w:val="0092083C"/>
    <w:rsid w:val="00924D90"/>
    <w:rsid w:val="00956546"/>
    <w:rsid w:val="00964A9D"/>
    <w:rsid w:val="009938B5"/>
    <w:rsid w:val="009B0667"/>
    <w:rsid w:val="00A2111A"/>
    <w:rsid w:val="00A61835"/>
    <w:rsid w:val="00A64939"/>
    <w:rsid w:val="00AF1F2C"/>
    <w:rsid w:val="00AF544B"/>
    <w:rsid w:val="00B7155A"/>
    <w:rsid w:val="00B87A8B"/>
    <w:rsid w:val="00BA5AC5"/>
    <w:rsid w:val="00C076E2"/>
    <w:rsid w:val="00C22947"/>
    <w:rsid w:val="00C528D4"/>
    <w:rsid w:val="00C80361"/>
    <w:rsid w:val="00C93349"/>
    <w:rsid w:val="00CB238E"/>
    <w:rsid w:val="00CF54EA"/>
    <w:rsid w:val="00D2108D"/>
    <w:rsid w:val="00DC7C1D"/>
    <w:rsid w:val="00F13DEC"/>
    <w:rsid w:val="011278B9"/>
    <w:rsid w:val="0136732D"/>
    <w:rsid w:val="016C0FA1"/>
    <w:rsid w:val="01FD1EA7"/>
    <w:rsid w:val="023A2E4D"/>
    <w:rsid w:val="027156A0"/>
    <w:rsid w:val="02B53407"/>
    <w:rsid w:val="033905F3"/>
    <w:rsid w:val="033E5719"/>
    <w:rsid w:val="036B080E"/>
    <w:rsid w:val="036C5F3F"/>
    <w:rsid w:val="03727EA6"/>
    <w:rsid w:val="037405E1"/>
    <w:rsid w:val="039447DF"/>
    <w:rsid w:val="040F20B8"/>
    <w:rsid w:val="04390C0B"/>
    <w:rsid w:val="046107EB"/>
    <w:rsid w:val="049525BD"/>
    <w:rsid w:val="053052F1"/>
    <w:rsid w:val="05412522"/>
    <w:rsid w:val="056F72B2"/>
    <w:rsid w:val="05DB5323"/>
    <w:rsid w:val="06415BBB"/>
    <w:rsid w:val="06FE6B3F"/>
    <w:rsid w:val="070B125C"/>
    <w:rsid w:val="07246782"/>
    <w:rsid w:val="077706A0"/>
    <w:rsid w:val="07E402C1"/>
    <w:rsid w:val="08BA4F3B"/>
    <w:rsid w:val="08BB45BC"/>
    <w:rsid w:val="08ED6E6B"/>
    <w:rsid w:val="09AB18BC"/>
    <w:rsid w:val="0A2543E3"/>
    <w:rsid w:val="0A7C3C8A"/>
    <w:rsid w:val="0A894972"/>
    <w:rsid w:val="0B0B2994"/>
    <w:rsid w:val="0B157AA4"/>
    <w:rsid w:val="0B3545A0"/>
    <w:rsid w:val="0BB81E48"/>
    <w:rsid w:val="0BC47C2C"/>
    <w:rsid w:val="0BF51ABF"/>
    <w:rsid w:val="0C024284"/>
    <w:rsid w:val="0C655571"/>
    <w:rsid w:val="0C6E6FBC"/>
    <w:rsid w:val="0C775533"/>
    <w:rsid w:val="0C923886"/>
    <w:rsid w:val="0CB46EBB"/>
    <w:rsid w:val="0CB97065"/>
    <w:rsid w:val="0CC31C91"/>
    <w:rsid w:val="0CDB077B"/>
    <w:rsid w:val="0D2F1E7E"/>
    <w:rsid w:val="0D643474"/>
    <w:rsid w:val="0DA32D53"/>
    <w:rsid w:val="0DAE46EF"/>
    <w:rsid w:val="0DD24460"/>
    <w:rsid w:val="0DDD6D83"/>
    <w:rsid w:val="0E083E00"/>
    <w:rsid w:val="0E3966AF"/>
    <w:rsid w:val="0E527513"/>
    <w:rsid w:val="0E5E559E"/>
    <w:rsid w:val="0E63372C"/>
    <w:rsid w:val="0EFD75BB"/>
    <w:rsid w:val="0F3320FE"/>
    <w:rsid w:val="0F595C61"/>
    <w:rsid w:val="0F5B4403"/>
    <w:rsid w:val="0F8B118C"/>
    <w:rsid w:val="0F9067A2"/>
    <w:rsid w:val="0FB617CE"/>
    <w:rsid w:val="102B1551"/>
    <w:rsid w:val="1032785A"/>
    <w:rsid w:val="10497877"/>
    <w:rsid w:val="111725AC"/>
    <w:rsid w:val="11274EE5"/>
    <w:rsid w:val="11405FA6"/>
    <w:rsid w:val="114333A1"/>
    <w:rsid w:val="114E2471"/>
    <w:rsid w:val="11567578"/>
    <w:rsid w:val="118146B3"/>
    <w:rsid w:val="11877731"/>
    <w:rsid w:val="11E8281D"/>
    <w:rsid w:val="12517511"/>
    <w:rsid w:val="12E806A4"/>
    <w:rsid w:val="13581385"/>
    <w:rsid w:val="13804CB8"/>
    <w:rsid w:val="13AC16D1"/>
    <w:rsid w:val="13FC4407"/>
    <w:rsid w:val="14171240"/>
    <w:rsid w:val="144826FE"/>
    <w:rsid w:val="146F4ECC"/>
    <w:rsid w:val="153320AA"/>
    <w:rsid w:val="15400301"/>
    <w:rsid w:val="15981F0D"/>
    <w:rsid w:val="15FC29A5"/>
    <w:rsid w:val="16997C8A"/>
    <w:rsid w:val="16BA5EB3"/>
    <w:rsid w:val="16DE7DF3"/>
    <w:rsid w:val="170B3D13"/>
    <w:rsid w:val="17590097"/>
    <w:rsid w:val="176D420F"/>
    <w:rsid w:val="17D36D00"/>
    <w:rsid w:val="17F6116D"/>
    <w:rsid w:val="181B6E25"/>
    <w:rsid w:val="18945F2C"/>
    <w:rsid w:val="18AF5EEB"/>
    <w:rsid w:val="18B938D1"/>
    <w:rsid w:val="196547FC"/>
    <w:rsid w:val="19865CAD"/>
    <w:rsid w:val="198C33B8"/>
    <w:rsid w:val="19A044DF"/>
    <w:rsid w:val="1A2F0966"/>
    <w:rsid w:val="1B454508"/>
    <w:rsid w:val="1B4B7CC6"/>
    <w:rsid w:val="1B5B726C"/>
    <w:rsid w:val="1BED0AD9"/>
    <w:rsid w:val="1BF12E8F"/>
    <w:rsid w:val="1C0565F3"/>
    <w:rsid w:val="1C1B5646"/>
    <w:rsid w:val="1C2204C9"/>
    <w:rsid w:val="1C4A499B"/>
    <w:rsid w:val="1CD22F7D"/>
    <w:rsid w:val="1CF540E9"/>
    <w:rsid w:val="1D464944"/>
    <w:rsid w:val="1D497F91"/>
    <w:rsid w:val="1D4E4741"/>
    <w:rsid w:val="1D544A59"/>
    <w:rsid w:val="1D660B43"/>
    <w:rsid w:val="1D8A5BD6"/>
    <w:rsid w:val="1DCB623F"/>
    <w:rsid w:val="1DF779ED"/>
    <w:rsid w:val="1E623AFF"/>
    <w:rsid w:val="1E8F5E77"/>
    <w:rsid w:val="1E9B73E1"/>
    <w:rsid w:val="1E9F430C"/>
    <w:rsid w:val="1EF108E0"/>
    <w:rsid w:val="1F0429EF"/>
    <w:rsid w:val="1F8E6560"/>
    <w:rsid w:val="1FAC6E05"/>
    <w:rsid w:val="1FD97097"/>
    <w:rsid w:val="1FF95C9E"/>
    <w:rsid w:val="2004163B"/>
    <w:rsid w:val="20043BC6"/>
    <w:rsid w:val="208519C2"/>
    <w:rsid w:val="20B87907"/>
    <w:rsid w:val="20BB0BC7"/>
    <w:rsid w:val="20D65FDF"/>
    <w:rsid w:val="20F35957"/>
    <w:rsid w:val="21921D3A"/>
    <w:rsid w:val="219E4D4F"/>
    <w:rsid w:val="21C85928"/>
    <w:rsid w:val="2262011A"/>
    <w:rsid w:val="22B56F98"/>
    <w:rsid w:val="22BC3B4B"/>
    <w:rsid w:val="236C6787"/>
    <w:rsid w:val="23CE22EC"/>
    <w:rsid w:val="23DF51AB"/>
    <w:rsid w:val="24243A29"/>
    <w:rsid w:val="24325C01"/>
    <w:rsid w:val="243303EF"/>
    <w:rsid w:val="24B71C84"/>
    <w:rsid w:val="24D941D4"/>
    <w:rsid w:val="24DB5972"/>
    <w:rsid w:val="24EA6EFD"/>
    <w:rsid w:val="25F018F1"/>
    <w:rsid w:val="25F15659"/>
    <w:rsid w:val="2604539D"/>
    <w:rsid w:val="26A336EE"/>
    <w:rsid w:val="26E269B0"/>
    <w:rsid w:val="26F561A6"/>
    <w:rsid w:val="279D1605"/>
    <w:rsid w:val="27A31746"/>
    <w:rsid w:val="287B4BC7"/>
    <w:rsid w:val="28A20DEE"/>
    <w:rsid w:val="28A63F98"/>
    <w:rsid w:val="28D85285"/>
    <w:rsid w:val="29197C4C"/>
    <w:rsid w:val="2962191D"/>
    <w:rsid w:val="29A44ECD"/>
    <w:rsid w:val="2A2050E7"/>
    <w:rsid w:val="2A2102CB"/>
    <w:rsid w:val="2A3E6BB7"/>
    <w:rsid w:val="2A6B0E95"/>
    <w:rsid w:val="2AAA209C"/>
    <w:rsid w:val="2AAC51AE"/>
    <w:rsid w:val="2AEC6B2B"/>
    <w:rsid w:val="2AF92FF6"/>
    <w:rsid w:val="2B0C0F7B"/>
    <w:rsid w:val="2B4324C3"/>
    <w:rsid w:val="2B4E67E9"/>
    <w:rsid w:val="2BC453B2"/>
    <w:rsid w:val="2BE171D6"/>
    <w:rsid w:val="2C416A03"/>
    <w:rsid w:val="2C994A91"/>
    <w:rsid w:val="2CC55609"/>
    <w:rsid w:val="2D692716"/>
    <w:rsid w:val="2E075A2A"/>
    <w:rsid w:val="2E1D524D"/>
    <w:rsid w:val="2EA24199"/>
    <w:rsid w:val="2EA5734D"/>
    <w:rsid w:val="2F6B3D97"/>
    <w:rsid w:val="30142680"/>
    <w:rsid w:val="302D6BAC"/>
    <w:rsid w:val="307849BD"/>
    <w:rsid w:val="30980BBB"/>
    <w:rsid w:val="31563F8A"/>
    <w:rsid w:val="317606F5"/>
    <w:rsid w:val="317A41C5"/>
    <w:rsid w:val="319C67C8"/>
    <w:rsid w:val="31B5119A"/>
    <w:rsid w:val="31B87F54"/>
    <w:rsid w:val="31D63C6A"/>
    <w:rsid w:val="31E06CBE"/>
    <w:rsid w:val="32544FB6"/>
    <w:rsid w:val="32951856"/>
    <w:rsid w:val="32A45F3D"/>
    <w:rsid w:val="336631F3"/>
    <w:rsid w:val="336B25B7"/>
    <w:rsid w:val="33A53D1B"/>
    <w:rsid w:val="34DF325D"/>
    <w:rsid w:val="34E9755C"/>
    <w:rsid w:val="34F64BB6"/>
    <w:rsid w:val="3542559A"/>
    <w:rsid w:val="355231E2"/>
    <w:rsid w:val="355A1520"/>
    <w:rsid w:val="355E6877"/>
    <w:rsid w:val="355F18D8"/>
    <w:rsid w:val="356C061A"/>
    <w:rsid w:val="35874F62"/>
    <w:rsid w:val="35C02087"/>
    <w:rsid w:val="35D00341"/>
    <w:rsid w:val="35D07049"/>
    <w:rsid w:val="364041CF"/>
    <w:rsid w:val="36667AE6"/>
    <w:rsid w:val="3680281D"/>
    <w:rsid w:val="36A62065"/>
    <w:rsid w:val="36CA03D1"/>
    <w:rsid w:val="36E94228"/>
    <w:rsid w:val="372C6501"/>
    <w:rsid w:val="37550658"/>
    <w:rsid w:val="37EB3CC7"/>
    <w:rsid w:val="37F250C0"/>
    <w:rsid w:val="38467793"/>
    <w:rsid w:val="38594377"/>
    <w:rsid w:val="386C3059"/>
    <w:rsid w:val="38A9519D"/>
    <w:rsid w:val="38AC16A8"/>
    <w:rsid w:val="38BE0D09"/>
    <w:rsid w:val="38F934A3"/>
    <w:rsid w:val="394E6085"/>
    <w:rsid w:val="39592840"/>
    <w:rsid w:val="39B93645"/>
    <w:rsid w:val="39F63332"/>
    <w:rsid w:val="39FE23D7"/>
    <w:rsid w:val="3A0B4AF4"/>
    <w:rsid w:val="3A2B2AA0"/>
    <w:rsid w:val="3B103BBD"/>
    <w:rsid w:val="3B205580"/>
    <w:rsid w:val="3B4305E8"/>
    <w:rsid w:val="3B491F27"/>
    <w:rsid w:val="3B5F0C53"/>
    <w:rsid w:val="3C463BC1"/>
    <w:rsid w:val="3C7921E9"/>
    <w:rsid w:val="3CBD154D"/>
    <w:rsid w:val="3CCF005B"/>
    <w:rsid w:val="3D2B37EA"/>
    <w:rsid w:val="3DC8094D"/>
    <w:rsid w:val="3E0A2361"/>
    <w:rsid w:val="3E4A708D"/>
    <w:rsid w:val="3E720C9E"/>
    <w:rsid w:val="3E907376"/>
    <w:rsid w:val="3EA41F59"/>
    <w:rsid w:val="3FBA691C"/>
    <w:rsid w:val="403D52DB"/>
    <w:rsid w:val="40512B35"/>
    <w:rsid w:val="4059301D"/>
    <w:rsid w:val="4061546E"/>
    <w:rsid w:val="407056B1"/>
    <w:rsid w:val="4090704B"/>
    <w:rsid w:val="40E90FBF"/>
    <w:rsid w:val="41173D7E"/>
    <w:rsid w:val="41736037"/>
    <w:rsid w:val="41DD49F4"/>
    <w:rsid w:val="41F540C0"/>
    <w:rsid w:val="41F93484"/>
    <w:rsid w:val="42440BA3"/>
    <w:rsid w:val="42485EF6"/>
    <w:rsid w:val="4269685C"/>
    <w:rsid w:val="42707CE4"/>
    <w:rsid w:val="43120CA1"/>
    <w:rsid w:val="43673409"/>
    <w:rsid w:val="43F932F8"/>
    <w:rsid w:val="44BB2766"/>
    <w:rsid w:val="45343151"/>
    <w:rsid w:val="456157A0"/>
    <w:rsid w:val="45723C79"/>
    <w:rsid w:val="458F482B"/>
    <w:rsid w:val="46104F68"/>
    <w:rsid w:val="461E2519"/>
    <w:rsid w:val="466B58D9"/>
    <w:rsid w:val="46916381"/>
    <w:rsid w:val="46FE6CFD"/>
    <w:rsid w:val="47134FE8"/>
    <w:rsid w:val="472954D5"/>
    <w:rsid w:val="47507743"/>
    <w:rsid w:val="47BC4FED"/>
    <w:rsid w:val="47E66258"/>
    <w:rsid w:val="482D46DB"/>
    <w:rsid w:val="485E04E5"/>
    <w:rsid w:val="48710218"/>
    <w:rsid w:val="4889130E"/>
    <w:rsid w:val="48C91E02"/>
    <w:rsid w:val="48F350D1"/>
    <w:rsid w:val="498945F3"/>
    <w:rsid w:val="49DD73B5"/>
    <w:rsid w:val="49F70BF1"/>
    <w:rsid w:val="4A890786"/>
    <w:rsid w:val="4AD66137"/>
    <w:rsid w:val="4AE03433"/>
    <w:rsid w:val="4AF13892"/>
    <w:rsid w:val="4B582BCD"/>
    <w:rsid w:val="4B797B0F"/>
    <w:rsid w:val="4B830231"/>
    <w:rsid w:val="4B842010"/>
    <w:rsid w:val="4BBA3C84"/>
    <w:rsid w:val="4C0E3E47"/>
    <w:rsid w:val="4C9B3AB5"/>
    <w:rsid w:val="4CC748AA"/>
    <w:rsid w:val="4CEC75AB"/>
    <w:rsid w:val="4D0F5385"/>
    <w:rsid w:val="4D162706"/>
    <w:rsid w:val="4D185106"/>
    <w:rsid w:val="4D601CB6"/>
    <w:rsid w:val="4D655613"/>
    <w:rsid w:val="4DA841F4"/>
    <w:rsid w:val="4DDB797C"/>
    <w:rsid w:val="4E524648"/>
    <w:rsid w:val="4E65437B"/>
    <w:rsid w:val="4E8E77D2"/>
    <w:rsid w:val="4EE82AFF"/>
    <w:rsid w:val="4EED1BAD"/>
    <w:rsid w:val="4F15388D"/>
    <w:rsid w:val="4F32757E"/>
    <w:rsid w:val="4F806F93"/>
    <w:rsid w:val="4FCB46B2"/>
    <w:rsid w:val="5007085B"/>
    <w:rsid w:val="502A1D14"/>
    <w:rsid w:val="51193326"/>
    <w:rsid w:val="51491D32"/>
    <w:rsid w:val="51621046"/>
    <w:rsid w:val="51B32F86"/>
    <w:rsid w:val="51CC5C50"/>
    <w:rsid w:val="5294356B"/>
    <w:rsid w:val="531C5311"/>
    <w:rsid w:val="5396225C"/>
    <w:rsid w:val="539C59A2"/>
    <w:rsid w:val="53CD50BC"/>
    <w:rsid w:val="53F817ED"/>
    <w:rsid w:val="54203969"/>
    <w:rsid w:val="54C53DC5"/>
    <w:rsid w:val="54E26CD8"/>
    <w:rsid w:val="550240DE"/>
    <w:rsid w:val="551057BC"/>
    <w:rsid w:val="55B94FAC"/>
    <w:rsid w:val="55FD73D0"/>
    <w:rsid w:val="561D5ED7"/>
    <w:rsid w:val="565D1435"/>
    <w:rsid w:val="56F95FA8"/>
    <w:rsid w:val="5792758B"/>
    <w:rsid w:val="58A50813"/>
    <w:rsid w:val="58F06F37"/>
    <w:rsid w:val="591D6ED4"/>
    <w:rsid w:val="59411F8B"/>
    <w:rsid w:val="594B7516"/>
    <w:rsid w:val="597E09E7"/>
    <w:rsid w:val="59A0095D"/>
    <w:rsid w:val="59B3066A"/>
    <w:rsid w:val="59F42A57"/>
    <w:rsid w:val="5A2157BC"/>
    <w:rsid w:val="5A780E87"/>
    <w:rsid w:val="5AF076C2"/>
    <w:rsid w:val="5B6B6ABA"/>
    <w:rsid w:val="5BA858A7"/>
    <w:rsid w:val="5BB24978"/>
    <w:rsid w:val="5BD21D62"/>
    <w:rsid w:val="5BED3C02"/>
    <w:rsid w:val="5C2C64D8"/>
    <w:rsid w:val="5C651F02"/>
    <w:rsid w:val="5C785619"/>
    <w:rsid w:val="5CA97B29"/>
    <w:rsid w:val="5CAB38A1"/>
    <w:rsid w:val="5CC05393"/>
    <w:rsid w:val="5CE16EEF"/>
    <w:rsid w:val="5D602736"/>
    <w:rsid w:val="5D8303A5"/>
    <w:rsid w:val="5DA30A1C"/>
    <w:rsid w:val="5DAA7060"/>
    <w:rsid w:val="5DD07337"/>
    <w:rsid w:val="5DDA1FA8"/>
    <w:rsid w:val="5DEF6422"/>
    <w:rsid w:val="5E5A37D0"/>
    <w:rsid w:val="5E9B238B"/>
    <w:rsid w:val="5EDC2437"/>
    <w:rsid w:val="5EF420AB"/>
    <w:rsid w:val="5F1020E1"/>
    <w:rsid w:val="5F681F1D"/>
    <w:rsid w:val="5F9C1BC7"/>
    <w:rsid w:val="5FC44139"/>
    <w:rsid w:val="5FCA1E36"/>
    <w:rsid w:val="60163727"/>
    <w:rsid w:val="60AA3E6F"/>
    <w:rsid w:val="60AE2ED6"/>
    <w:rsid w:val="61355442"/>
    <w:rsid w:val="61700C15"/>
    <w:rsid w:val="61CB6793"/>
    <w:rsid w:val="62B650A5"/>
    <w:rsid w:val="62F133AA"/>
    <w:rsid w:val="63902345"/>
    <w:rsid w:val="63CD731B"/>
    <w:rsid w:val="645E569D"/>
    <w:rsid w:val="647F5A5C"/>
    <w:rsid w:val="64B61035"/>
    <w:rsid w:val="64CB79C8"/>
    <w:rsid w:val="64E0083F"/>
    <w:rsid w:val="65FB0B36"/>
    <w:rsid w:val="66087601"/>
    <w:rsid w:val="662D49F8"/>
    <w:rsid w:val="6683388F"/>
    <w:rsid w:val="66AF3F8D"/>
    <w:rsid w:val="66BB3D9D"/>
    <w:rsid w:val="66D47E98"/>
    <w:rsid w:val="66D51BE1"/>
    <w:rsid w:val="67226154"/>
    <w:rsid w:val="674522B1"/>
    <w:rsid w:val="676A4358"/>
    <w:rsid w:val="67C2582A"/>
    <w:rsid w:val="67D72B62"/>
    <w:rsid w:val="67F02AB0"/>
    <w:rsid w:val="682543C3"/>
    <w:rsid w:val="685016DD"/>
    <w:rsid w:val="68757459"/>
    <w:rsid w:val="6894368E"/>
    <w:rsid w:val="68C63810"/>
    <w:rsid w:val="68ED6FEF"/>
    <w:rsid w:val="68FE744E"/>
    <w:rsid w:val="690A5DF3"/>
    <w:rsid w:val="693469CC"/>
    <w:rsid w:val="697B41D2"/>
    <w:rsid w:val="6A43612F"/>
    <w:rsid w:val="6B040620"/>
    <w:rsid w:val="6B2F1B41"/>
    <w:rsid w:val="6B340F05"/>
    <w:rsid w:val="6BAF0F4E"/>
    <w:rsid w:val="6BB9666D"/>
    <w:rsid w:val="6C532209"/>
    <w:rsid w:val="6C9D1138"/>
    <w:rsid w:val="6CA976D1"/>
    <w:rsid w:val="6CEC56E8"/>
    <w:rsid w:val="6CEF1588"/>
    <w:rsid w:val="6D1E20DB"/>
    <w:rsid w:val="6D5D4122"/>
    <w:rsid w:val="6DB26138"/>
    <w:rsid w:val="6DCF3167"/>
    <w:rsid w:val="6E0077C5"/>
    <w:rsid w:val="6E7066F8"/>
    <w:rsid w:val="6EA91C0A"/>
    <w:rsid w:val="6F321C00"/>
    <w:rsid w:val="6F45099A"/>
    <w:rsid w:val="6F602CF5"/>
    <w:rsid w:val="6F914B78"/>
    <w:rsid w:val="6FCB487D"/>
    <w:rsid w:val="6FFB6495"/>
    <w:rsid w:val="70027824"/>
    <w:rsid w:val="70313C65"/>
    <w:rsid w:val="705A140E"/>
    <w:rsid w:val="70CC329C"/>
    <w:rsid w:val="70EF41DA"/>
    <w:rsid w:val="712A34E8"/>
    <w:rsid w:val="7197744D"/>
    <w:rsid w:val="72107113"/>
    <w:rsid w:val="721B3607"/>
    <w:rsid w:val="723D0FE7"/>
    <w:rsid w:val="72B648F6"/>
    <w:rsid w:val="72CE17BD"/>
    <w:rsid w:val="72CE60E3"/>
    <w:rsid w:val="72DF3E4C"/>
    <w:rsid w:val="72FD183D"/>
    <w:rsid w:val="73267CCD"/>
    <w:rsid w:val="73375A36"/>
    <w:rsid w:val="733F7144"/>
    <w:rsid w:val="74442768"/>
    <w:rsid w:val="74F87447"/>
    <w:rsid w:val="74FF707E"/>
    <w:rsid w:val="752D6DC1"/>
    <w:rsid w:val="75BC66C7"/>
    <w:rsid w:val="75EA6D90"/>
    <w:rsid w:val="76B9547C"/>
    <w:rsid w:val="76C57C86"/>
    <w:rsid w:val="76DE49AA"/>
    <w:rsid w:val="77100A78"/>
    <w:rsid w:val="774626EC"/>
    <w:rsid w:val="77603A30"/>
    <w:rsid w:val="781E5417"/>
    <w:rsid w:val="78683618"/>
    <w:rsid w:val="789631FF"/>
    <w:rsid w:val="78A82F32"/>
    <w:rsid w:val="78B77027"/>
    <w:rsid w:val="791F1447"/>
    <w:rsid w:val="79294073"/>
    <w:rsid w:val="7A036672"/>
    <w:rsid w:val="7A25204A"/>
    <w:rsid w:val="7A694A49"/>
    <w:rsid w:val="7A884DCA"/>
    <w:rsid w:val="7AAA4D40"/>
    <w:rsid w:val="7B234F6C"/>
    <w:rsid w:val="7BE77C3B"/>
    <w:rsid w:val="7CB62D95"/>
    <w:rsid w:val="7CC3121C"/>
    <w:rsid w:val="7DD338F9"/>
    <w:rsid w:val="7DF12F39"/>
    <w:rsid w:val="7E156974"/>
    <w:rsid w:val="7E2E2619"/>
    <w:rsid w:val="7E417769"/>
    <w:rsid w:val="7E53749D"/>
    <w:rsid w:val="7E761267"/>
    <w:rsid w:val="7E8458A8"/>
    <w:rsid w:val="7E90249F"/>
    <w:rsid w:val="7EC35CD5"/>
    <w:rsid w:val="7ED76320"/>
    <w:rsid w:val="7EDC56E4"/>
    <w:rsid w:val="7EDE145C"/>
    <w:rsid w:val="7F0A04A3"/>
    <w:rsid w:val="7F7F44F7"/>
    <w:rsid w:val="7FB328E9"/>
    <w:rsid w:val="7FB90D50"/>
    <w:rsid w:val="7FFB46FC"/>
    <w:rsid w:val="E6DF9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ind w:firstLine="1446" w:firstLineChars="200"/>
      <w:jc w:val="both"/>
    </w:pPr>
    <w:rPr>
      <w:rFonts w:ascii="Times New Roman" w:hAnsi="Times New Roman" w:eastAsia="仿宋_GB2312" w:cs="宋体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ind w:firstLine="200" w:firstLineChars="200"/>
    </w:pPr>
    <w:rPr>
      <w:rFonts w:ascii="Times New Roman" w:hAnsi="Times New Roman"/>
      <w:szCs w:val="21"/>
    </w:rPr>
  </w:style>
  <w:style w:type="paragraph" w:styleId="6">
    <w:name w:val="annotation text"/>
    <w:qFormat/>
    <w:uiPriority w:val="0"/>
    <w:pPr>
      <w:widowControl w:val="0"/>
      <w:spacing w:line="520" w:lineRule="exact"/>
      <w:ind w:firstLine="1446" w:firstLineChars="200"/>
    </w:pPr>
    <w:rPr>
      <w:rFonts w:ascii="Times New Roman" w:hAnsi="Times New Roman" w:eastAsia="仿宋_GB2312" w:cs="宋体"/>
      <w:kern w:val="2"/>
      <w:sz w:val="28"/>
      <w:szCs w:val="24"/>
      <w:lang w:val="en-US" w:eastAsia="zh-CN" w:bidi="ar-SA"/>
    </w:rPr>
  </w:style>
  <w:style w:type="paragraph" w:styleId="7">
    <w:name w:val="Body Text"/>
    <w:basedOn w:val="1"/>
    <w:qFormat/>
    <w:uiPriority w:val="0"/>
    <w:pPr>
      <w:spacing w:after="140" w:line="276" w:lineRule="auto"/>
    </w:pPr>
  </w:style>
  <w:style w:type="paragraph" w:styleId="8">
    <w:name w:val="toc 3"/>
    <w:basedOn w:val="1"/>
    <w:next w:val="1"/>
    <w:qFormat/>
    <w:uiPriority w:val="0"/>
    <w:pPr>
      <w:ind w:left="840" w:leftChars="400"/>
    </w:p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21"/>
    </w:rPr>
  </w:style>
  <w:style w:type="paragraph" w:styleId="11">
    <w:name w:val="toc 1"/>
    <w:basedOn w:val="1"/>
    <w:next w:val="1"/>
    <w:qFormat/>
    <w:uiPriority w:val="0"/>
    <w:pPr>
      <w:ind w:firstLine="0" w:firstLineChars="0"/>
    </w:pPr>
    <w:rPr>
      <w:rFonts w:eastAsia="楷体_GB2312"/>
      <w:b/>
      <w:color w:val="FF0000"/>
    </w:rPr>
  </w:style>
  <w:style w:type="paragraph" w:styleId="12">
    <w:name w:val="toc 2"/>
    <w:basedOn w:val="1"/>
    <w:next w:val="1"/>
    <w:qFormat/>
    <w:uiPriority w:val="0"/>
    <w:pPr>
      <w:ind w:firstLine="0" w:firstLineChars="0"/>
    </w:pPr>
    <w:rPr>
      <w:rFonts w:eastAsia="楷体_GB2312"/>
      <w:b/>
      <w:sz w:val="24"/>
    </w:r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6">
    <w:name w:val="Strong"/>
    <w:basedOn w:val="15"/>
    <w:qFormat/>
    <w:uiPriority w:val="0"/>
    <w:rPr>
      <w:b/>
    </w:rPr>
  </w:style>
  <w:style w:type="character" w:styleId="17">
    <w:name w:val="Hyperlink"/>
    <w:basedOn w:val="15"/>
    <w:qFormat/>
    <w:uiPriority w:val="0"/>
    <w:rPr>
      <w:color w:val="0000FF"/>
      <w:u w:val="single"/>
    </w:rPr>
  </w:style>
  <w:style w:type="character" w:styleId="18">
    <w:name w:val="annotation reference"/>
    <w:basedOn w:val="15"/>
    <w:qFormat/>
    <w:uiPriority w:val="0"/>
    <w:rPr>
      <w:sz w:val="21"/>
      <w:szCs w:val="21"/>
    </w:rPr>
  </w:style>
  <w:style w:type="paragraph" w:customStyle="1" w:styleId="19">
    <w:name w:val="篇标题"/>
    <w:basedOn w:val="1"/>
    <w:next w:val="1"/>
    <w:link w:val="22"/>
    <w:qFormat/>
    <w:uiPriority w:val="0"/>
    <w:pPr>
      <w:spacing w:after="100" w:afterLines="100" w:line="360" w:lineRule="auto"/>
      <w:ind w:firstLine="0" w:firstLineChars="0"/>
      <w:jc w:val="center"/>
    </w:pPr>
    <w:rPr>
      <w:rFonts w:hint="eastAsia" w:eastAsia="黑体"/>
      <w:b/>
      <w:color w:val="FF0000"/>
      <w:sz w:val="36"/>
    </w:rPr>
  </w:style>
  <w:style w:type="paragraph" w:customStyle="1" w:styleId="20">
    <w:name w:val="节标题"/>
    <w:basedOn w:val="1"/>
    <w:next w:val="1"/>
    <w:qFormat/>
    <w:uiPriority w:val="0"/>
    <w:pPr>
      <w:spacing w:after="50" w:afterLines="50"/>
      <w:ind w:firstLine="0" w:firstLineChars="0"/>
      <w:jc w:val="center"/>
      <w:outlineLvl w:val="0"/>
    </w:pPr>
    <w:rPr>
      <w:rFonts w:eastAsia="微软雅黑"/>
      <w:bCs/>
      <w:kern w:val="44"/>
      <w:sz w:val="32"/>
      <w:szCs w:val="52"/>
    </w:rPr>
  </w:style>
  <w:style w:type="paragraph" w:customStyle="1" w:styleId="21">
    <w:name w:val="作者注释"/>
    <w:basedOn w:val="1"/>
    <w:next w:val="1"/>
    <w:link w:val="27"/>
    <w:qFormat/>
    <w:uiPriority w:val="0"/>
    <w:pPr>
      <w:ind w:firstLine="0" w:firstLineChars="0"/>
      <w:jc w:val="center"/>
    </w:pPr>
    <w:rPr>
      <w:rFonts w:hint="eastAsia"/>
      <w:bCs/>
      <w:sz w:val="24"/>
    </w:rPr>
  </w:style>
  <w:style w:type="character" w:customStyle="1" w:styleId="22">
    <w:name w:val="篇标题 Char"/>
    <w:link w:val="19"/>
    <w:qFormat/>
    <w:uiPriority w:val="0"/>
    <w:rPr>
      <w:rFonts w:hint="eastAsia" w:ascii="Times New Roman" w:hAnsi="Times New Roman" w:eastAsia="黑体"/>
      <w:b/>
      <w:color w:val="FF0000"/>
      <w:sz w:val="36"/>
    </w:rPr>
  </w:style>
  <w:style w:type="paragraph" w:customStyle="1" w:styleId="23">
    <w:name w:val="作者"/>
    <w:basedOn w:val="1"/>
    <w:link w:val="26"/>
    <w:qFormat/>
    <w:uiPriority w:val="0"/>
    <w:pPr>
      <w:ind w:firstLine="0" w:firstLineChars="0"/>
      <w:jc w:val="center"/>
    </w:pPr>
    <w:rPr>
      <w:rFonts w:hint="eastAsia" w:eastAsia="楷体_GB2312"/>
    </w:rPr>
  </w:style>
  <w:style w:type="paragraph" w:customStyle="1" w:styleId="24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25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6">
    <w:name w:val="作者 Char"/>
    <w:link w:val="23"/>
    <w:qFormat/>
    <w:uiPriority w:val="0"/>
    <w:rPr>
      <w:rFonts w:hint="eastAsia" w:ascii="Times New Roman" w:hAnsi="Times New Roman" w:eastAsia="楷体_GB2312"/>
    </w:rPr>
  </w:style>
  <w:style w:type="character" w:customStyle="1" w:styleId="27">
    <w:name w:val="作者注释 Char"/>
    <w:link w:val="21"/>
    <w:qFormat/>
    <w:uiPriority w:val="0"/>
    <w:rPr>
      <w:rFonts w:hint="eastAsia" w:ascii="Times New Roman" w:hAnsi="Times New Roman"/>
      <w:bCs/>
      <w:sz w:val="24"/>
    </w:rPr>
  </w:style>
  <w:style w:type="character" w:customStyle="1" w:styleId="28">
    <w:name w:val="标题 1 字符"/>
    <w:link w:val="2"/>
    <w:qFormat/>
    <w:uiPriority w:val="0"/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9">
    <w:name w:val="List Paragraph"/>
    <w:basedOn w:val="1"/>
    <w:unhideWhenUsed/>
    <w:qFormat/>
    <w:uiPriority w:val="99"/>
    <w:pPr>
      <w:ind w:firstLine="420"/>
    </w:pPr>
  </w:style>
  <w:style w:type="character" w:customStyle="1" w:styleId="30">
    <w:name w:val="Unresolved Mention"/>
    <w:basedOn w:val="1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3105</Words>
  <Characters>3335</Characters>
  <Lines>42</Lines>
  <Paragraphs>30</Paragraphs>
  <TotalTime>0</TotalTime>
  <ScaleCrop>false</ScaleCrop>
  <LinksUpToDate>false</LinksUpToDate>
  <CharactersWithSpaces>3417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2025-12-15T17:32:00Z</dcterms:created>
  <dc:creator>长沙市商业经济学会</dc:creator>
  <cp:lastModifiedBy>动感光波biubiubiu</cp:lastModifiedBy>
  <dcterms:modified xsi:type="dcterms:W3CDTF">2025-12-16T08:16:39Z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B53F344A6E064968996F8BA611920C99_13</vt:lpwstr>
  </property>
  <property fmtid="{D5CDD505-2E9C-101B-9397-08002B2CF9AE}" pid="4" name="KSOTemplateDocerSaveRecord">
    <vt:lpwstr>eyJoZGlkIjoiODhkMWQ4YmFlOTc4NTdhN2FiMGU0ZGFlZWUzNzViOGEiLCJ1c2VySWQiOiIyNTIxMDQxNTEifQ==</vt:lpwstr>
  </property>
</Properties>
</file>