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eastAsia="楷体_GB2312"/>
        </w:rPr>
      </w:pPr>
      <w:r>
        <w:rPr>
          <w:rFonts w:hint="eastAsia" w:ascii="Times New Roman" w:hAnsi="Times New Roman" w:eastAsia="楷体_GB2312"/>
        </w:rPr>
        <w:t>附件3</w:t>
      </w:r>
    </w:p>
    <w:p>
      <w:pPr>
        <w:widowControl/>
        <w:spacing w:line="240" w:lineRule="auto"/>
        <w:jc w:val="center"/>
        <w:rPr>
          <w:rFonts w:ascii="Times New Roman" w:hAnsi="Times New Roman" w:eastAsia="方正小标宋简体"/>
          <w:kern w:val="0"/>
          <w:sz w:val="44"/>
          <w:szCs w:val="44"/>
        </w:rPr>
      </w:pPr>
      <w:r>
        <w:rPr>
          <w:rFonts w:ascii="Times New Roman" w:hAnsi="Times New Roman" w:eastAsia="方正小标宋简体"/>
          <w:kern w:val="0"/>
          <w:sz w:val="44"/>
          <w:szCs w:val="44"/>
        </w:rPr>
        <w:t xml:space="preserve">   </w:t>
      </w:r>
      <w:r>
        <w:rPr>
          <w:rFonts w:hint="eastAsia" w:ascii="Times New Roman" w:hAnsi="Times New Roman" w:eastAsia="方正小标宋简体"/>
          <w:kern w:val="0"/>
          <w:sz w:val="44"/>
          <w:szCs w:val="44"/>
          <w:u w:val="single"/>
          <w:lang w:eastAsia="zh-CN"/>
        </w:rPr>
        <w:t>雷锋馆</w:t>
      </w:r>
      <w:r>
        <w:rPr>
          <w:rFonts w:hint="eastAsia" w:ascii="Times New Roman" w:hAnsi="Times New Roman" w:eastAsia="方正小标宋简体"/>
          <w:kern w:val="0"/>
          <w:sz w:val="44"/>
          <w:szCs w:val="44"/>
        </w:rPr>
        <w:t>部门整体支出绩效评价基础数据表</w:t>
      </w:r>
    </w:p>
    <w:p>
      <w:pPr>
        <w:widowControl/>
        <w:tabs>
          <w:tab w:val="left" w:pos="3611"/>
          <w:tab w:val="left" w:pos="4791"/>
          <w:tab w:val="left" w:pos="5951"/>
          <w:tab w:val="left" w:pos="7071"/>
          <w:tab w:val="left" w:pos="8191"/>
          <w:tab w:val="left" w:pos="9311"/>
        </w:tabs>
        <w:spacing w:line="240" w:lineRule="auto"/>
        <w:jc w:val="left"/>
        <w:rPr>
          <w:rFonts w:hAnsi="Times New Roman"/>
          <w:kern w:val="0"/>
          <w:sz w:val="24"/>
          <w:szCs w:val="24"/>
        </w:rPr>
      </w:pPr>
    </w:p>
    <w:p>
      <w:pPr>
        <w:widowControl/>
        <w:tabs>
          <w:tab w:val="left" w:pos="3611"/>
          <w:tab w:val="left" w:pos="4791"/>
          <w:tab w:val="left" w:pos="5951"/>
          <w:tab w:val="left" w:pos="7071"/>
          <w:tab w:val="left" w:pos="8191"/>
          <w:tab w:val="left" w:pos="9311"/>
        </w:tabs>
        <w:spacing w:line="240" w:lineRule="auto"/>
        <w:jc w:val="left"/>
        <w:rPr>
          <w:rFonts w:hAnsi="Times New Roman"/>
          <w:kern w:val="0"/>
          <w:sz w:val="24"/>
          <w:szCs w:val="24"/>
        </w:rPr>
      </w:pPr>
      <w:r>
        <w:rPr>
          <w:rFonts w:hint="eastAsia" w:hAnsi="Times New Roman"/>
          <w:kern w:val="0"/>
          <w:sz w:val="24"/>
          <w:szCs w:val="24"/>
        </w:rPr>
        <w:t>填报单位：</w:t>
      </w:r>
      <w:r>
        <w:rPr>
          <w:rFonts w:hint="eastAsia" w:hAnsi="Times New Roman"/>
          <w:kern w:val="0"/>
          <w:sz w:val="24"/>
          <w:szCs w:val="24"/>
          <w:lang w:eastAsia="zh-CN"/>
        </w:rPr>
        <w:t>长沙市望城区雷锋纪念馆</w:t>
      </w:r>
      <w:r>
        <w:rPr>
          <w:rFonts w:hAnsi="Times New Roman"/>
          <w:kern w:val="0"/>
          <w:sz w:val="24"/>
          <w:szCs w:val="24"/>
        </w:rPr>
        <w:tab/>
      </w:r>
      <w:r>
        <w:rPr>
          <w:rFonts w:hAnsi="Times New Roman"/>
          <w:kern w:val="0"/>
          <w:sz w:val="24"/>
          <w:szCs w:val="24"/>
        </w:rPr>
        <w:tab/>
      </w:r>
      <w:r>
        <w:rPr>
          <w:rFonts w:hAnsi="Times New Roman"/>
          <w:kern w:val="0"/>
          <w:sz w:val="24"/>
          <w:szCs w:val="24"/>
        </w:rPr>
        <w:tab/>
      </w:r>
      <w:r>
        <w:rPr>
          <w:rFonts w:hAnsi="Times New Roman"/>
          <w:kern w:val="0"/>
          <w:sz w:val="24"/>
          <w:szCs w:val="24"/>
        </w:rPr>
        <w:tab/>
      </w:r>
      <w:r>
        <w:rPr>
          <w:rFonts w:hAnsi="Times New Roman"/>
          <w:kern w:val="0"/>
          <w:sz w:val="24"/>
          <w:szCs w:val="24"/>
        </w:rPr>
        <w:tab/>
      </w:r>
      <w:r>
        <w:rPr>
          <w:rFonts w:hAnsi="Times New Roman"/>
          <w:kern w:val="0"/>
          <w:sz w:val="24"/>
          <w:szCs w:val="24"/>
        </w:rPr>
        <w:tab/>
      </w:r>
    </w:p>
    <w:tbl>
      <w:tblPr>
        <w:tblStyle w:val="8"/>
        <w:tblW w:w="9878" w:type="dxa"/>
        <w:jc w:val="center"/>
        <w:tblInd w:w="0" w:type="dxa"/>
        <w:tblLayout w:type="fixed"/>
        <w:tblCellMar>
          <w:top w:w="0" w:type="dxa"/>
          <w:left w:w="108" w:type="dxa"/>
          <w:bottom w:w="0" w:type="dxa"/>
          <w:right w:w="108" w:type="dxa"/>
        </w:tblCellMar>
      </w:tblPr>
      <w:tblGrid>
        <w:gridCol w:w="3480"/>
        <w:gridCol w:w="936"/>
        <w:gridCol w:w="936"/>
        <w:gridCol w:w="987"/>
        <w:gridCol w:w="1217"/>
        <w:gridCol w:w="1187"/>
        <w:gridCol w:w="1135"/>
      </w:tblGrid>
      <w:tr>
        <w:tblPrEx>
          <w:tblLayout w:type="fixed"/>
          <w:tblCellMar>
            <w:top w:w="0" w:type="dxa"/>
            <w:left w:w="108" w:type="dxa"/>
            <w:bottom w:w="0" w:type="dxa"/>
            <w:right w:w="108" w:type="dxa"/>
          </w:tblCellMar>
        </w:tblPrEx>
        <w:trPr>
          <w:trHeight w:val="525" w:hRule="atLeast"/>
          <w:jc w:val="center"/>
        </w:trPr>
        <w:tc>
          <w:tcPr>
            <w:tcW w:w="348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财政供养人员情况</w:t>
            </w:r>
          </w:p>
        </w:tc>
        <w:tc>
          <w:tcPr>
            <w:tcW w:w="187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编制数</w:t>
            </w:r>
          </w:p>
        </w:tc>
        <w:tc>
          <w:tcPr>
            <w:tcW w:w="220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w:t>
            </w:r>
            <w:r>
              <w:rPr>
                <w:rFonts w:hint="eastAsia" w:ascii="Times New Roman" w:hAnsi="Times New Roman"/>
                <w:bCs/>
                <w:kern w:val="0"/>
                <w:sz w:val="24"/>
                <w:szCs w:val="24"/>
              </w:rPr>
              <w:t>18年实际</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在职人数</w:t>
            </w:r>
          </w:p>
        </w:tc>
        <w:tc>
          <w:tcPr>
            <w:tcW w:w="232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控制率</w:t>
            </w:r>
          </w:p>
        </w:tc>
      </w:tr>
      <w:tr>
        <w:tblPrEx>
          <w:tblLayout w:type="fixed"/>
          <w:tblCellMar>
            <w:top w:w="0" w:type="dxa"/>
            <w:left w:w="108" w:type="dxa"/>
            <w:bottom w:w="0" w:type="dxa"/>
            <w:right w:w="108" w:type="dxa"/>
          </w:tblCellMar>
        </w:tblPrEx>
        <w:trPr>
          <w:trHeight w:val="525" w:hRule="atLeast"/>
          <w:jc w:val="center"/>
        </w:trPr>
        <w:tc>
          <w:tcPr>
            <w:tcW w:w="34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p>
        </w:tc>
        <w:tc>
          <w:tcPr>
            <w:tcW w:w="187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20</w:t>
            </w:r>
          </w:p>
        </w:tc>
        <w:tc>
          <w:tcPr>
            <w:tcW w:w="220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18</w:t>
            </w: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b/>
                <w:bCs/>
                <w:color w:val="000000" w:themeColor="text1"/>
                <w:kern w:val="0"/>
                <w:sz w:val="24"/>
                <w:szCs w:val="24"/>
                <w:lang w:val="en-US" w:eastAsia="zh-CN"/>
                <w14:textFill>
                  <w14:solidFill>
                    <w14:schemeClr w14:val="tx1"/>
                  </w14:solidFill>
                </w14:textFill>
              </w:rPr>
              <w:t>90%</w:t>
            </w:r>
            <w:r>
              <w:rPr>
                <w:rFonts w:hint="eastAsia" w:ascii="Times New Roman" w:hAnsi="Times New Roman"/>
                <w:b/>
                <w:bCs/>
                <w:color w:val="000000" w:themeColor="text1"/>
                <w:kern w:val="0"/>
                <w:sz w:val="24"/>
                <w:szCs w:val="24"/>
                <w14:textFill>
                  <w14:solidFill>
                    <w14:schemeClr w14:val="tx1"/>
                  </w14:solidFill>
                </w14:textFill>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经费控制情况</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w:t>
            </w:r>
            <w:r>
              <w:rPr>
                <w:rFonts w:hint="eastAsia" w:ascii="Times New Roman" w:hAnsi="Times New Roman"/>
                <w:bCs/>
                <w:kern w:val="0"/>
                <w:sz w:val="24"/>
                <w:szCs w:val="24"/>
              </w:rPr>
              <w:t>7年决算数</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w:t>
            </w:r>
            <w:r>
              <w:rPr>
                <w:rFonts w:hint="eastAsia" w:ascii="Times New Roman" w:hAnsi="Times New Roman"/>
                <w:bCs/>
                <w:kern w:val="0"/>
                <w:sz w:val="24"/>
                <w:szCs w:val="24"/>
              </w:rPr>
              <w:t>8年预算数</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w:t>
            </w:r>
            <w:r>
              <w:rPr>
                <w:rFonts w:hint="eastAsia" w:ascii="Times New Roman" w:hAnsi="Times New Roman"/>
                <w:bCs/>
                <w:kern w:val="0"/>
                <w:sz w:val="24"/>
                <w:szCs w:val="24"/>
              </w:rPr>
              <w:t>8年决算数</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三公经费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eastAsia="仿宋_GB2312"/>
                <w:kern w:val="0"/>
                <w:sz w:val="24"/>
                <w:lang w:val="en-US" w:eastAsia="zh-CN"/>
              </w:rPr>
              <w:t>120491.97</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eastAsia="仿宋_GB2312"/>
                <w:kern w:val="0"/>
                <w:sz w:val="24"/>
              </w:rPr>
              <w:t>180000.00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lang w:val="en-US"/>
              </w:rPr>
            </w:pPr>
            <w:r>
              <w:rPr>
                <w:rFonts w:hint="eastAsia" w:ascii="Times New Roman" w:hAnsi="Times New Roman"/>
                <w:kern w:val="0"/>
                <w:sz w:val="24"/>
                <w:szCs w:val="24"/>
                <w:lang w:val="en-US" w:eastAsia="zh-CN"/>
              </w:rPr>
              <w:t>61792.75</w:t>
            </w:r>
          </w:p>
        </w:tc>
      </w:tr>
      <w:tr>
        <w:tblPrEx>
          <w:tblLayout w:type="fixed"/>
          <w:tblCellMar>
            <w:top w:w="0" w:type="dxa"/>
            <w:left w:w="108" w:type="dxa"/>
            <w:bottom w:w="0" w:type="dxa"/>
            <w:right w:w="108" w:type="dxa"/>
          </w:tblCellMar>
        </w:tblPrEx>
        <w:trPr>
          <w:trHeight w:val="39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1</w:t>
            </w:r>
            <w:r>
              <w:rPr>
                <w:rFonts w:hint="eastAsia" w:ascii="Times New Roman" w:hAnsi="Times New Roman"/>
                <w:kern w:val="0"/>
                <w:sz w:val="24"/>
                <w:szCs w:val="24"/>
              </w:rPr>
              <w:t>、公务用车购置和维护经费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eastAsia="仿宋_GB2312"/>
                <w:kern w:val="0"/>
                <w:sz w:val="24"/>
                <w:lang w:val="en-US" w:eastAsia="zh-CN"/>
              </w:rPr>
              <w:t>63508.97</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eastAsia="仿宋_GB2312"/>
                <w:kern w:val="0"/>
                <w:sz w:val="24"/>
              </w:rPr>
              <w:t>60000.00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59728.75</w:t>
            </w:r>
            <w:r>
              <w:rPr>
                <w:rFonts w:hint="eastAsia" w:ascii="Times New Roman" w:hAnsi="Times New Roman"/>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其中：公车购置</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eastAsia="仿宋_GB2312"/>
                <w:kern w:val="0"/>
                <w:sz w:val="24"/>
                <w:lang w:val="en-US" w:eastAsia="zh-CN"/>
              </w:rPr>
              <w:t>0</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eastAsia="仿宋_GB2312"/>
                <w:kern w:val="0"/>
                <w:sz w:val="24"/>
                <w:lang w:val="en-US" w:eastAsia="zh-CN"/>
              </w:rPr>
              <w:t>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公车运行维护</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eastAsia="仿宋_GB2312"/>
                <w:kern w:val="0"/>
                <w:sz w:val="24"/>
                <w:lang w:val="en-US" w:eastAsia="zh-CN"/>
              </w:rPr>
              <w:t>63508.97</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eastAsia="仿宋_GB2312"/>
                <w:kern w:val="0"/>
                <w:sz w:val="24"/>
              </w:rPr>
              <w:t>60000.00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59728.75</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2</w:t>
            </w:r>
            <w:r>
              <w:rPr>
                <w:rFonts w:hint="eastAsia" w:ascii="Times New Roman" w:hAnsi="Times New Roman"/>
                <w:kern w:val="0"/>
                <w:sz w:val="24"/>
                <w:szCs w:val="24"/>
              </w:rPr>
              <w:t>、出国经费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eastAsia="仿宋_GB2312"/>
                <w:kern w:val="0"/>
                <w:sz w:val="24"/>
                <w:lang w:val="en-US" w:eastAsia="zh-CN"/>
              </w:rPr>
              <w:t>0</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eastAsia="仿宋_GB2312"/>
                <w:kern w:val="0"/>
                <w:sz w:val="24"/>
                <w:lang w:val="en-US" w:eastAsia="zh-CN"/>
              </w:rPr>
              <w:t>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3</w:t>
            </w:r>
            <w:r>
              <w:rPr>
                <w:rFonts w:hint="eastAsia" w:ascii="Times New Roman" w:hAnsi="Times New Roman"/>
                <w:kern w:val="0"/>
                <w:sz w:val="24"/>
                <w:szCs w:val="24"/>
              </w:rPr>
              <w:t>、公务接待</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eastAsia="仿宋_GB2312"/>
                <w:kern w:val="0"/>
                <w:sz w:val="24"/>
                <w:lang w:val="en-US" w:eastAsia="zh-CN"/>
              </w:rPr>
              <w:t>56983.00</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eastAsia="仿宋_GB2312"/>
                <w:kern w:val="0"/>
                <w:sz w:val="24"/>
              </w:rPr>
              <w:t>120000.00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lang w:val="en-US"/>
              </w:rPr>
            </w:pPr>
            <w:r>
              <w:rPr>
                <w:rFonts w:hint="eastAsia" w:ascii="Times New Roman" w:hAnsi="Times New Roman"/>
                <w:kern w:val="0"/>
                <w:sz w:val="24"/>
                <w:szCs w:val="24"/>
                <w:lang w:val="en-US" w:eastAsia="zh-CN"/>
              </w:rPr>
              <w:t>2064.00</w:t>
            </w:r>
          </w:p>
        </w:tc>
      </w:tr>
      <w:tr>
        <w:tblPrEx>
          <w:tblLayout w:type="fixed"/>
          <w:tblCellMar>
            <w:top w:w="0" w:type="dxa"/>
            <w:left w:w="108" w:type="dxa"/>
            <w:bottom w:w="0" w:type="dxa"/>
            <w:right w:w="108" w:type="dxa"/>
          </w:tblCellMar>
        </w:tblPrEx>
        <w:trPr>
          <w:trHeight w:val="39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项目支出：</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lang w:val="en-US"/>
              </w:rPr>
            </w:pPr>
            <w:r>
              <w:rPr>
                <w:rFonts w:hint="eastAsia" w:eastAsia="仿宋_GB2312"/>
                <w:kern w:val="0"/>
                <w:sz w:val="24"/>
                <w:lang w:val="en-US" w:eastAsia="zh-CN"/>
              </w:rPr>
              <w:t>15920211.93</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328500000.00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40815448.68</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1</w:t>
            </w:r>
            <w:r>
              <w:rPr>
                <w:rFonts w:hint="eastAsia" w:ascii="Times New Roman" w:hAnsi="Times New Roman"/>
                <w:kern w:val="0"/>
                <w:sz w:val="24"/>
                <w:szCs w:val="24"/>
              </w:rPr>
              <w:t>、业务工作专项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eastAsia="仿宋_GB2312"/>
                <w:kern w:val="0"/>
                <w:sz w:val="24"/>
                <w:lang w:val="en-US" w:eastAsia="zh-CN"/>
              </w:rPr>
              <w:t>2586306.92</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2080000.00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3825589.21</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2</w:t>
            </w:r>
            <w:r>
              <w:rPr>
                <w:rFonts w:hint="eastAsia" w:ascii="Times New Roman" w:hAnsi="Times New Roman"/>
                <w:kern w:val="0"/>
                <w:sz w:val="24"/>
                <w:szCs w:val="24"/>
              </w:rPr>
              <w:t>、运行维护专项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lang w:val="en-US"/>
              </w:rPr>
            </w:pPr>
            <w:r>
              <w:rPr>
                <w:rFonts w:hint="eastAsia" w:eastAsia="仿宋_GB2312"/>
                <w:kern w:val="0"/>
                <w:sz w:val="24"/>
                <w:lang w:val="en-US" w:eastAsia="zh-CN"/>
              </w:rPr>
              <w:t>2080000.00</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770000.00</w:t>
            </w: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879341.47</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eastAsia="仿宋_GB2312"/>
                <w:kern w:val="0"/>
                <w:sz w:val="24"/>
              </w:rPr>
              <w:t xml:space="preserve"> </w:t>
            </w:r>
            <w:r>
              <w:rPr>
                <w:rFonts w:hint="eastAsia" w:eastAsia="仿宋_GB2312"/>
                <w:kern w:val="0"/>
                <w:sz w:val="24"/>
                <w:lang w:val="en-US" w:eastAsia="zh-CN"/>
              </w:rPr>
              <w:t>3、</w:t>
            </w:r>
            <w:r>
              <w:rPr>
                <w:rFonts w:hint="eastAsia" w:eastAsia="仿宋_GB2312"/>
                <w:kern w:val="0"/>
                <w:sz w:val="24"/>
              </w:rPr>
              <w:t>提质项目专项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eastAsia="仿宋_GB2312"/>
                <w:kern w:val="0"/>
                <w:sz w:val="24"/>
                <w:lang w:val="en-US" w:eastAsia="zh-CN"/>
              </w:rPr>
              <w:t>11253905.01</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30000000.00</w:t>
            </w: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36110518.00</w:t>
            </w:r>
            <w:r>
              <w:rPr>
                <w:rFonts w:hint="eastAsia" w:ascii="Times New Roman" w:hAnsi="Times New Roman"/>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公用经费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eastAsia="仿宋_GB2312"/>
                <w:kern w:val="0"/>
                <w:sz w:val="24"/>
                <w:lang w:val="en-US" w:eastAsia="zh-CN"/>
              </w:rPr>
              <w:t>565003.42</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eastAsia="zh-CN"/>
              </w:rPr>
              <w:t>3</w:t>
            </w:r>
            <w:r>
              <w:rPr>
                <w:rFonts w:hint="eastAsia" w:ascii="Times New Roman" w:hAnsi="Times New Roman"/>
                <w:kern w:val="0"/>
                <w:sz w:val="24"/>
                <w:szCs w:val="24"/>
                <w:lang w:val="en-US" w:eastAsia="zh-CN"/>
              </w:rPr>
              <w:t>04000.00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1899815.72</w:t>
            </w:r>
          </w:p>
        </w:tc>
      </w:tr>
      <w:tr>
        <w:tblPrEx>
          <w:tblLayout w:type="fixed"/>
          <w:tblCellMar>
            <w:top w:w="0" w:type="dxa"/>
            <w:left w:w="108" w:type="dxa"/>
            <w:bottom w:w="0" w:type="dxa"/>
            <w:right w:w="108" w:type="dxa"/>
          </w:tblCellMar>
        </w:tblPrEx>
        <w:trPr>
          <w:trHeight w:val="39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其中：办公经费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FF0000"/>
                <w:kern w:val="0"/>
                <w:sz w:val="24"/>
                <w:szCs w:val="24"/>
              </w:rPr>
            </w:pPr>
            <w:r>
              <w:rPr>
                <w:rFonts w:hint="eastAsia" w:eastAsia="仿宋_GB2312"/>
                <w:color w:val="000000"/>
                <w:kern w:val="0"/>
                <w:sz w:val="24"/>
                <w:lang w:val="en-US" w:eastAsia="zh-CN"/>
              </w:rPr>
              <w:t>57162.50</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000000" w:themeColor="text1"/>
                <w:kern w:val="0"/>
                <w:sz w:val="24"/>
                <w:szCs w:val="24"/>
                <w:lang w:val="en-US"/>
                <w14:textFill>
                  <w14:solidFill>
                    <w14:schemeClr w14:val="tx1"/>
                  </w14:solidFill>
                </w14:textFill>
              </w:rPr>
            </w:pPr>
            <w:r>
              <w:rPr>
                <w:rFonts w:hint="eastAsia" w:ascii="Times New Roman" w:hAnsi="Times New Roman"/>
                <w:color w:val="000000" w:themeColor="text1"/>
                <w:kern w:val="0"/>
                <w:sz w:val="24"/>
                <w:szCs w:val="24"/>
                <w:lang w:val="en-US" w:eastAsia="zh-CN"/>
                <w14:textFill>
                  <w14:solidFill>
                    <w14:schemeClr w14:val="tx1"/>
                  </w14:solidFill>
                </w14:textFill>
              </w:rPr>
              <w:t>15000.00</w:t>
            </w:r>
            <w:r>
              <w:rPr>
                <w:rFonts w:hint="eastAsia" w:ascii="Times New Roman" w:hAnsi="Times New Roman"/>
                <w:color w:val="000000" w:themeColor="text1"/>
                <w:kern w:val="0"/>
                <w:sz w:val="24"/>
                <w:szCs w:val="24"/>
                <w:lang w:val="en-US"/>
                <w14:textFill>
                  <w14:solidFill>
                    <w14:schemeClr w14:val="tx1"/>
                  </w14:solidFill>
                </w14:textFill>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000000" w:themeColor="text1"/>
                <w:kern w:val="0"/>
                <w:sz w:val="24"/>
                <w:szCs w:val="24"/>
                <w:lang w:val="en-US"/>
                <w14:textFill>
                  <w14:solidFill>
                    <w14:schemeClr w14:val="tx1"/>
                  </w14:solidFill>
                </w14:textFill>
              </w:rPr>
            </w:pPr>
            <w:r>
              <w:rPr>
                <w:rFonts w:hint="eastAsia" w:ascii="Times New Roman" w:hAnsi="Times New Roman"/>
                <w:color w:val="000000" w:themeColor="text1"/>
                <w:kern w:val="0"/>
                <w:sz w:val="24"/>
                <w:szCs w:val="24"/>
                <w:lang w:val="en-US" w:eastAsia="zh-CN"/>
                <w14:textFill>
                  <w14:solidFill>
                    <w14:schemeClr w14:val="tx1"/>
                  </w14:solidFill>
                </w14:textFill>
              </w:rPr>
              <w:t>22197.96</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水费、电费、差旅费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FF0000"/>
                <w:kern w:val="0"/>
                <w:sz w:val="24"/>
                <w:szCs w:val="24"/>
              </w:rPr>
            </w:pPr>
            <w:r>
              <w:rPr>
                <w:rFonts w:hint="eastAsia" w:eastAsia="仿宋_GB2312"/>
                <w:color w:val="000000"/>
                <w:kern w:val="0"/>
                <w:sz w:val="24"/>
                <w:lang w:val="en-US" w:eastAsia="zh-CN"/>
              </w:rPr>
              <w:t>494893.12</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000000" w:themeColor="text1"/>
                <w:kern w:val="0"/>
                <w:sz w:val="24"/>
                <w:szCs w:val="24"/>
                <w14:textFill>
                  <w14:solidFill>
                    <w14:schemeClr w14:val="tx1"/>
                  </w14:solidFill>
                </w14:textFill>
              </w:rPr>
            </w:pPr>
            <w:r>
              <w:rPr>
                <w:rFonts w:hint="eastAsia" w:ascii="Times New Roman" w:hAnsi="Times New Roman"/>
                <w:color w:val="000000" w:themeColor="text1"/>
                <w:kern w:val="0"/>
                <w:sz w:val="24"/>
                <w:szCs w:val="24"/>
                <w:lang w:val="en-US" w:eastAsia="zh-CN"/>
                <w14:textFill>
                  <w14:solidFill>
                    <w14:schemeClr w14:val="tx1"/>
                  </w14:solidFill>
                </w14:textFill>
              </w:rPr>
              <w:t>45000.00</w:t>
            </w:r>
            <w:r>
              <w:rPr>
                <w:rFonts w:hint="eastAsia" w:ascii="Times New Roman" w:hAnsi="Times New Roman"/>
                <w:color w:val="000000" w:themeColor="text1"/>
                <w:kern w:val="0"/>
                <w:sz w:val="24"/>
                <w:szCs w:val="24"/>
                <w14:textFill>
                  <w14:solidFill>
                    <w14:schemeClr w14:val="tx1"/>
                  </w14:solidFill>
                </w14:textFill>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000000" w:themeColor="text1"/>
                <w:kern w:val="0"/>
                <w:sz w:val="24"/>
                <w:szCs w:val="24"/>
                <w14:textFill>
                  <w14:solidFill>
                    <w14:schemeClr w14:val="tx1"/>
                  </w14:solidFill>
                </w14:textFill>
              </w:rPr>
            </w:pPr>
            <w:r>
              <w:rPr>
                <w:rFonts w:hint="eastAsia" w:ascii="Times New Roman" w:hAnsi="Times New Roman"/>
                <w:color w:val="000000" w:themeColor="text1"/>
                <w:kern w:val="0"/>
                <w:sz w:val="24"/>
                <w:szCs w:val="24"/>
                <w:lang w:val="en-US" w:eastAsia="zh-CN"/>
                <w14:textFill>
                  <w14:solidFill>
                    <w14:schemeClr w14:val="tx1"/>
                  </w14:solidFill>
                </w14:textFill>
              </w:rPr>
              <w:t>884000.00</w:t>
            </w:r>
            <w:r>
              <w:rPr>
                <w:rFonts w:hint="eastAsia" w:ascii="Times New Roman" w:hAnsi="Times New Roman"/>
                <w:color w:val="000000" w:themeColor="text1"/>
                <w:kern w:val="0"/>
                <w:sz w:val="24"/>
                <w:szCs w:val="24"/>
                <w14:textFill>
                  <w14:solidFill>
                    <w14:schemeClr w14:val="tx1"/>
                  </w14:solidFill>
                </w14:textFill>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会议费、培训费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FF0000"/>
                <w:kern w:val="0"/>
                <w:sz w:val="24"/>
                <w:szCs w:val="24"/>
              </w:rPr>
            </w:pPr>
            <w:r>
              <w:rPr>
                <w:rFonts w:hint="eastAsia" w:eastAsia="仿宋_GB2312"/>
                <w:color w:val="000000"/>
                <w:kern w:val="0"/>
                <w:sz w:val="24"/>
                <w:lang w:val="en-US" w:eastAsia="zh-CN"/>
              </w:rPr>
              <w:t>12947.80</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eastAsia="仿宋_GB2312"/>
                <w:color w:val="000000" w:themeColor="text1"/>
                <w:kern w:val="0"/>
                <w:sz w:val="24"/>
                <w:szCs w:val="24"/>
                <w:lang w:val="en-US" w:eastAsia="zh-CN"/>
                <w14:textFill>
                  <w14:solidFill>
                    <w14:schemeClr w14:val="tx1"/>
                  </w14:solidFill>
                </w14:textFill>
              </w:rPr>
            </w:pPr>
            <w:r>
              <w:rPr>
                <w:rFonts w:hint="eastAsia" w:ascii="Times New Roman" w:hAnsi="Times New Roman"/>
                <w:color w:val="000000" w:themeColor="text1"/>
                <w:kern w:val="0"/>
                <w:sz w:val="24"/>
                <w:szCs w:val="24"/>
                <w:lang w:val="en-US" w:eastAsia="zh-CN"/>
                <w14:textFill>
                  <w14:solidFill>
                    <w14:schemeClr w14:val="tx1"/>
                  </w14:solidFill>
                </w14:textFill>
              </w:rPr>
              <w:t>30000.00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000000" w:themeColor="text1"/>
                <w:kern w:val="0"/>
                <w:sz w:val="24"/>
                <w:szCs w:val="24"/>
                <w:lang w:val="en-US"/>
                <w14:textFill>
                  <w14:solidFill>
                    <w14:schemeClr w14:val="tx1"/>
                  </w14:solidFill>
                </w14:textFill>
              </w:rPr>
            </w:pPr>
            <w:r>
              <w:rPr>
                <w:rFonts w:hint="eastAsia" w:ascii="Times New Roman" w:hAnsi="Times New Roman"/>
                <w:color w:val="000000" w:themeColor="text1"/>
                <w:kern w:val="0"/>
                <w:sz w:val="24"/>
                <w:szCs w:val="24"/>
                <w:lang w:val="en-US" w:eastAsia="zh-CN"/>
                <w14:textFill>
                  <w14:solidFill>
                    <w14:schemeClr w14:val="tx1"/>
                  </w14:solidFill>
                </w14:textFill>
              </w:rPr>
              <w:t>99374.00</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政府采购金额</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ascii="Times New Roman" w:hAnsi="Times New Roman"/>
                <w:kern w:val="0"/>
                <w:sz w:val="24"/>
                <w:szCs w:val="24"/>
              </w:rPr>
              <w:t>——</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56040000.00</w:t>
            </w: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lang w:val="en-US"/>
              </w:rPr>
            </w:pPr>
            <w:r>
              <w:rPr>
                <w:rFonts w:hint="eastAsia" w:ascii="Times New Roman" w:hAnsi="Times New Roman"/>
                <w:kern w:val="0"/>
                <w:sz w:val="24"/>
                <w:szCs w:val="24"/>
                <w:lang w:val="en-US" w:eastAsia="zh-CN"/>
              </w:rPr>
              <w:t>41080000.00</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部门整体支出预算调整</w:t>
            </w:r>
            <w:r>
              <w:rPr>
                <w:rFonts w:ascii="Times New Roman" w:hAnsi="Times New Roman"/>
                <w:kern w:val="0"/>
                <w:sz w:val="24"/>
                <w:szCs w:val="24"/>
              </w:rPr>
              <w:t xml:space="preserve"> </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ascii="Times New Roman" w:hAnsi="Times New Roman"/>
                <w:kern w:val="0"/>
                <w:sz w:val="24"/>
                <w:szCs w:val="24"/>
              </w:rPr>
              <w:t>——</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000000" w:themeColor="text1"/>
                <w:kern w:val="0"/>
                <w:sz w:val="24"/>
                <w:szCs w:val="24"/>
                <w14:textFill>
                  <w14:solidFill>
                    <w14:schemeClr w14:val="tx1"/>
                  </w14:solidFill>
                </w14:textFill>
              </w:rPr>
            </w:pPr>
            <w:r>
              <w:rPr>
                <w:rFonts w:hint="eastAsia" w:ascii="Times New Roman" w:hAnsi="Times New Roman"/>
                <w:color w:val="000000" w:themeColor="text1"/>
                <w:kern w:val="0"/>
                <w:sz w:val="21"/>
                <w:szCs w:val="21"/>
                <w:lang w:val="en-US" w:eastAsia="zh-CN"/>
                <w14:textFill>
                  <w14:solidFill>
                    <w14:schemeClr w14:val="tx1"/>
                  </w14:solidFill>
                </w14:textFill>
              </w:rPr>
              <w:t>2018年</w:t>
            </w:r>
            <w:r>
              <w:rPr>
                <w:rFonts w:hint="eastAsia" w:ascii="Times New Roman" w:hAnsi="Times New Roman"/>
                <w:color w:val="000000" w:themeColor="text1"/>
                <w:kern w:val="0"/>
                <w:sz w:val="21"/>
                <w:szCs w:val="21"/>
                <w:lang w:eastAsia="zh-CN"/>
                <w14:textFill>
                  <w14:solidFill>
                    <w14:schemeClr w14:val="tx1"/>
                  </w14:solidFill>
                </w14:textFill>
              </w:rPr>
              <w:t>项目支出决算大于预算，是</w:t>
            </w:r>
            <w:r>
              <w:rPr>
                <w:rFonts w:hint="eastAsia" w:ascii="Times New Roman" w:hAnsi="Times New Roman"/>
                <w:color w:val="000000" w:themeColor="text1"/>
                <w:kern w:val="0"/>
                <w:sz w:val="21"/>
                <w:szCs w:val="21"/>
                <w:lang w:val="en-US" w:eastAsia="zh-CN"/>
                <w14:textFill>
                  <w14:solidFill>
                    <w14:schemeClr w14:val="tx1"/>
                  </w14:solidFill>
                </w14:textFill>
              </w:rPr>
              <w:t>2017年有未使用完指标</w:t>
            </w:r>
            <w:r>
              <w:rPr>
                <w:rFonts w:hint="eastAsia" w:ascii="Times New Roman" w:hAnsi="Times New Roman"/>
                <w:color w:val="000000" w:themeColor="text1"/>
                <w:kern w:val="0"/>
                <w:sz w:val="21"/>
                <w:szCs w:val="21"/>
                <w:lang w:eastAsia="zh-CN"/>
                <w14:textFill>
                  <w14:solidFill>
                    <w14:schemeClr w14:val="tx1"/>
                  </w14:solidFill>
                </w14:textFill>
              </w:rPr>
              <w:t>调整至</w:t>
            </w:r>
            <w:r>
              <w:rPr>
                <w:rFonts w:hint="eastAsia" w:ascii="Times New Roman" w:hAnsi="Times New Roman"/>
                <w:color w:val="000000" w:themeColor="text1"/>
                <w:kern w:val="0"/>
                <w:sz w:val="21"/>
                <w:szCs w:val="21"/>
                <w:lang w:val="en-US" w:eastAsia="zh-CN"/>
                <w14:textFill>
                  <w14:solidFill>
                    <w14:schemeClr w14:val="tx1"/>
                  </w14:solidFill>
                </w14:textFill>
              </w:rPr>
              <w:t>2018年支付。</w:t>
            </w:r>
            <w:r>
              <w:rPr>
                <w:rFonts w:hint="eastAsia" w:ascii="Times New Roman" w:hAnsi="Times New Roman"/>
                <w:color w:val="000000" w:themeColor="text1"/>
                <w:kern w:val="0"/>
                <w:sz w:val="24"/>
                <w:szCs w:val="24"/>
                <w14:textFill>
                  <w14:solidFill>
                    <w14:schemeClr w14:val="tx1"/>
                  </w14:solidFill>
                </w14:textFill>
              </w:rPr>
              <w:t>　</w:t>
            </w:r>
          </w:p>
        </w:tc>
      </w:tr>
      <w:tr>
        <w:tblPrEx>
          <w:tblLayout w:type="fixed"/>
          <w:tblCellMar>
            <w:top w:w="0" w:type="dxa"/>
            <w:left w:w="108" w:type="dxa"/>
            <w:bottom w:w="0" w:type="dxa"/>
            <w:right w:w="108" w:type="dxa"/>
          </w:tblCellMar>
        </w:tblPrEx>
        <w:trPr>
          <w:trHeight w:val="856" w:hRule="atLeast"/>
          <w:jc w:val="center"/>
        </w:trPr>
        <w:tc>
          <w:tcPr>
            <w:tcW w:w="348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楼堂馆所控制情况</w:t>
            </w:r>
          </w:p>
          <w:p>
            <w:pPr>
              <w:widowControl/>
              <w:spacing w:line="280" w:lineRule="exact"/>
              <w:jc w:val="center"/>
              <w:rPr>
                <w:rFonts w:hint="eastAsia" w:ascii="Times New Roman" w:hAnsi="Times New Roman" w:eastAsia="仿宋_GB2312"/>
                <w:kern w:val="0"/>
                <w:sz w:val="24"/>
                <w:szCs w:val="24"/>
                <w:lang w:eastAsia="zh-CN"/>
              </w:rPr>
            </w:pPr>
            <w:r>
              <w:rPr>
                <w:rFonts w:hint="eastAsia" w:ascii="Times New Roman" w:hAnsi="Times New Roman"/>
                <w:kern w:val="0"/>
                <w:sz w:val="24"/>
                <w:szCs w:val="24"/>
              </w:rPr>
              <w:t>（</w:t>
            </w:r>
            <w:r>
              <w:rPr>
                <w:rFonts w:ascii="Times New Roman" w:hAnsi="Times New Roman"/>
                <w:kern w:val="0"/>
                <w:sz w:val="24"/>
                <w:szCs w:val="24"/>
              </w:rPr>
              <w:t>201</w:t>
            </w:r>
            <w:r>
              <w:rPr>
                <w:rFonts w:hint="eastAsia" w:ascii="Times New Roman" w:hAnsi="Times New Roman"/>
                <w:kern w:val="0"/>
                <w:sz w:val="24"/>
                <w:szCs w:val="24"/>
              </w:rPr>
              <w:t>8年完工项目）</w:t>
            </w:r>
            <w:r>
              <w:rPr>
                <w:rFonts w:hint="eastAsia" w:ascii="Times New Roman" w:hAnsi="Times New Roman"/>
                <w:color w:val="FF0000"/>
                <w:kern w:val="0"/>
                <w:sz w:val="24"/>
                <w:szCs w:val="24"/>
                <w:lang w:eastAsia="zh-CN"/>
              </w:rPr>
              <w:t>（</w:t>
            </w:r>
          </w:p>
        </w:tc>
        <w:tc>
          <w:tcPr>
            <w:tcW w:w="93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批复</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规模</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w:t>
            </w:r>
            <w:r>
              <w:rPr>
                <w:rFonts w:hint="eastAsia" w:ascii="Times New Roman" w:hAnsi="Times New Roman" w:eastAsia="宋体"/>
                <w:bCs/>
                <w:kern w:val="0"/>
                <w:sz w:val="24"/>
                <w:szCs w:val="24"/>
              </w:rPr>
              <w:t>㎡</w:t>
            </w:r>
            <w:r>
              <w:rPr>
                <w:rFonts w:hint="eastAsia" w:ascii="Times New Roman" w:hAnsi="Times New Roman"/>
                <w:bCs/>
                <w:kern w:val="0"/>
                <w:sz w:val="24"/>
                <w:szCs w:val="24"/>
              </w:rPr>
              <w:t>）</w:t>
            </w:r>
          </w:p>
        </w:tc>
        <w:tc>
          <w:tcPr>
            <w:tcW w:w="93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实际</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规模</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w:t>
            </w:r>
            <w:r>
              <w:rPr>
                <w:rFonts w:hint="eastAsia" w:ascii="Times New Roman" w:hAnsi="Times New Roman" w:eastAsia="宋体"/>
                <w:bCs/>
                <w:kern w:val="0"/>
                <w:sz w:val="24"/>
                <w:szCs w:val="24"/>
              </w:rPr>
              <w:t>㎡</w:t>
            </w:r>
            <w:r>
              <w:rPr>
                <w:rFonts w:hint="eastAsia" w:ascii="Times New Roman" w:hAnsi="Times New Roman"/>
                <w:bCs/>
                <w:kern w:val="0"/>
                <w:sz w:val="24"/>
                <w:szCs w:val="24"/>
              </w:rPr>
              <w:t>）</w:t>
            </w:r>
          </w:p>
        </w:tc>
        <w:tc>
          <w:tcPr>
            <w:tcW w:w="987"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规</w:t>
            </w:r>
            <w:r>
              <w:rPr>
                <w:rFonts w:ascii="Times New Roman" w:hAnsi="Times New Roman"/>
                <w:bCs/>
                <w:kern w:val="0"/>
                <w:sz w:val="24"/>
                <w:szCs w:val="24"/>
              </w:rPr>
              <w:t xml:space="preserve">  </w:t>
            </w:r>
            <w:r>
              <w:rPr>
                <w:rFonts w:hint="eastAsia" w:ascii="Times New Roman" w:hAnsi="Times New Roman"/>
                <w:bCs/>
                <w:kern w:val="0"/>
                <w:sz w:val="24"/>
                <w:szCs w:val="24"/>
              </w:rPr>
              <w:t>模</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控制率</w:t>
            </w:r>
          </w:p>
        </w:tc>
        <w:tc>
          <w:tcPr>
            <w:tcW w:w="1217"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预算投资</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（万元）</w:t>
            </w:r>
          </w:p>
        </w:tc>
        <w:tc>
          <w:tcPr>
            <w:tcW w:w="1187"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实际投资</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（万元）</w:t>
            </w:r>
          </w:p>
        </w:tc>
        <w:tc>
          <w:tcPr>
            <w:tcW w:w="1135"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spacing w:val="-6"/>
                <w:kern w:val="0"/>
                <w:sz w:val="24"/>
                <w:szCs w:val="24"/>
              </w:rPr>
            </w:pPr>
            <w:r>
              <w:rPr>
                <w:rFonts w:hint="eastAsia" w:ascii="Times New Roman" w:hAnsi="Times New Roman"/>
                <w:bCs/>
                <w:spacing w:val="-6"/>
                <w:kern w:val="0"/>
                <w:sz w:val="24"/>
                <w:szCs w:val="24"/>
              </w:rPr>
              <w:t>投资概算控制率</w:t>
            </w:r>
          </w:p>
        </w:tc>
      </w:tr>
      <w:tr>
        <w:tblPrEx>
          <w:tblLayout w:type="fixed"/>
          <w:tblCellMar>
            <w:top w:w="0" w:type="dxa"/>
            <w:left w:w="108" w:type="dxa"/>
            <w:bottom w:w="0" w:type="dxa"/>
            <w:right w:w="108" w:type="dxa"/>
          </w:tblCellMar>
        </w:tblPrEx>
        <w:trPr>
          <w:trHeight w:val="678" w:hRule="atLeast"/>
          <w:jc w:val="center"/>
        </w:trPr>
        <w:tc>
          <w:tcPr>
            <w:tcW w:w="348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p>
        </w:tc>
        <w:tc>
          <w:tcPr>
            <w:tcW w:w="93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w:t>
            </w:r>
            <w:r>
              <w:rPr>
                <w:rFonts w:hint="eastAsia" w:ascii="Times New Roman" w:hAnsi="Times New Roman"/>
                <w:kern w:val="0"/>
                <w:sz w:val="24"/>
                <w:szCs w:val="24"/>
              </w:rPr>
              <w:t>　</w:t>
            </w:r>
          </w:p>
        </w:tc>
        <w:tc>
          <w:tcPr>
            <w:tcW w:w="936"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0</w:t>
            </w:r>
          </w:p>
        </w:tc>
        <w:tc>
          <w:tcPr>
            <w:tcW w:w="98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0</w:t>
            </w:r>
          </w:p>
        </w:tc>
        <w:tc>
          <w:tcPr>
            <w:tcW w:w="121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0</w:t>
            </w:r>
          </w:p>
        </w:tc>
        <w:tc>
          <w:tcPr>
            <w:tcW w:w="118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0</w:t>
            </w:r>
          </w:p>
        </w:tc>
        <w:tc>
          <w:tcPr>
            <w:tcW w:w="1135"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0</w:t>
            </w:r>
          </w:p>
        </w:tc>
      </w:tr>
      <w:tr>
        <w:tblPrEx>
          <w:tblLayout w:type="fixed"/>
          <w:tblCellMar>
            <w:top w:w="0" w:type="dxa"/>
            <w:left w:w="108" w:type="dxa"/>
            <w:bottom w:w="0" w:type="dxa"/>
            <w:right w:w="108" w:type="dxa"/>
          </w:tblCellMar>
        </w:tblPrEx>
        <w:trPr>
          <w:trHeight w:val="65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厉行节约保障措施</w:t>
            </w:r>
          </w:p>
        </w:tc>
        <w:tc>
          <w:tcPr>
            <w:tcW w:w="6398" w:type="dxa"/>
            <w:gridSpan w:val="6"/>
            <w:tcBorders>
              <w:top w:val="single" w:color="auto" w:sz="4" w:space="0"/>
              <w:left w:val="nil"/>
              <w:bottom w:val="single" w:color="auto" w:sz="4" w:space="0"/>
              <w:right w:val="single" w:color="000000" w:sz="4" w:space="0"/>
            </w:tcBorders>
            <w:vAlign w:val="center"/>
          </w:tcPr>
          <w:p>
            <w:pPr>
              <w:widowControl/>
              <w:spacing w:line="280" w:lineRule="exact"/>
              <w:jc w:val="left"/>
              <w:rPr>
                <w:rFonts w:ascii="Times New Roman" w:hAnsi="Times New Roman"/>
                <w:kern w:val="0"/>
                <w:sz w:val="24"/>
                <w:szCs w:val="24"/>
              </w:rPr>
            </w:pPr>
            <w:r>
              <w:rPr>
                <w:rFonts w:hint="eastAsia" w:ascii="仿宋_GB2312" w:eastAsia="仿宋_GB2312"/>
                <w:sz w:val="24"/>
                <w:szCs w:val="24"/>
              </w:rPr>
              <w:t>制定了纪念馆内务管理办法，财经制度、财务人员工作职责等，坚持每季</w:t>
            </w:r>
            <w:r>
              <w:rPr>
                <w:rFonts w:hint="eastAsia"/>
                <w:sz w:val="24"/>
                <w:szCs w:val="24"/>
                <w:lang w:eastAsia="zh-CN"/>
              </w:rPr>
              <w:t>度</w:t>
            </w:r>
            <w:r>
              <w:rPr>
                <w:rFonts w:hint="eastAsia" w:ascii="仿宋_GB2312" w:eastAsia="仿宋_GB2312"/>
                <w:sz w:val="24"/>
                <w:szCs w:val="24"/>
              </w:rPr>
              <w:t>公开单位财务</w:t>
            </w:r>
            <w:r>
              <w:rPr>
                <w:rFonts w:hint="eastAsia"/>
                <w:sz w:val="24"/>
                <w:szCs w:val="24"/>
                <w:lang w:eastAsia="zh-CN"/>
              </w:rPr>
              <w:t>。</w:t>
            </w:r>
            <w:r>
              <w:rPr>
                <w:rFonts w:hint="eastAsia" w:eastAsia="仿宋_GB2312"/>
                <w:kern w:val="0"/>
                <w:sz w:val="24"/>
              </w:rPr>
              <w:t>　</w:t>
            </w:r>
          </w:p>
        </w:tc>
      </w:tr>
      <w:tr>
        <w:tblPrEx>
          <w:tblLayout w:type="fixed"/>
          <w:tblCellMar>
            <w:top w:w="0" w:type="dxa"/>
            <w:left w:w="108" w:type="dxa"/>
            <w:bottom w:w="0" w:type="dxa"/>
            <w:right w:w="108" w:type="dxa"/>
          </w:tblCellMar>
        </w:tblPrEx>
        <w:trPr>
          <w:trHeight w:val="700" w:hRule="atLeast"/>
          <w:jc w:val="center"/>
        </w:trPr>
        <w:tc>
          <w:tcPr>
            <w:tcW w:w="9878" w:type="dxa"/>
            <w:gridSpan w:val="7"/>
            <w:tcBorders>
              <w:top w:val="single" w:color="auto" w:sz="4" w:space="0"/>
              <w:left w:val="nil"/>
              <w:bottom w:val="nil"/>
              <w:right w:val="nil"/>
            </w:tcBorders>
            <w:vAlign w:val="center"/>
          </w:tcPr>
          <w:p>
            <w:pPr>
              <w:widowControl/>
              <w:spacing w:line="340" w:lineRule="exact"/>
              <w:jc w:val="left"/>
              <w:rPr>
                <w:rFonts w:ascii="Times New Roman" w:hAnsi="Times New Roman"/>
                <w:kern w:val="0"/>
                <w:sz w:val="22"/>
                <w:szCs w:val="24"/>
              </w:rPr>
            </w:pPr>
            <w:r>
              <w:rPr>
                <w:rFonts w:hint="eastAsia" w:ascii="Times New Roman" w:hAnsi="Times New Roman"/>
                <w:kern w:val="0"/>
                <w:sz w:val="22"/>
                <w:szCs w:val="24"/>
              </w:rPr>
              <w:t>说明：</w:t>
            </w:r>
            <w:r>
              <w:rPr>
                <w:rFonts w:ascii="Times New Roman" w:hAnsi="Times New Roman"/>
                <w:kern w:val="0"/>
                <w:sz w:val="22"/>
                <w:szCs w:val="24"/>
              </w:rPr>
              <w:t>“</w:t>
            </w:r>
            <w:r>
              <w:rPr>
                <w:rFonts w:hint="eastAsia" w:ascii="Times New Roman" w:hAnsi="Times New Roman"/>
                <w:kern w:val="0"/>
                <w:sz w:val="22"/>
                <w:szCs w:val="24"/>
              </w:rPr>
              <w:t>项目支出</w:t>
            </w:r>
            <w:r>
              <w:rPr>
                <w:rFonts w:ascii="Times New Roman" w:hAnsi="Times New Roman"/>
                <w:kern w:val="0"/>
                <w:sz w:val="22"/>
                <w:szCs w:val="24"/>
              </w:rPr>
              <w:t>”</w:t>
            </w:r>
            <w:r>
              <w:rPr>
                <w:rFonts w:hint="eastAsia" w:ascii="Times New Roman" w:hAnsi="Times New Roman"/>
                <w:kern w:val="0"/>
                <w:sz w:val="22"/>
                <w:szCs w:val="24"/>
              </w:rPr>
              <w:t>需要填报除专项资金和基本支出以外的所有项目情况，包括业务工作项目、运行维护项目等；</w:t>
            </w:r>
            <w:r>
              <w:rPr>
                <w:rFonts w:ascii="Times New Roman" w:hAnsi="Times New Roman"/>
                <w:kern w:val="0"/>
                <w:sz w:val="22"/>
                <w:szCs w:val="24"/>
              </w:rPr>
              <w:t>“</w:t>
            </w:r>
            <w:r>
              <w:rPr>
                <w:rFonts w:hint="eastAsia" w:ascii="Times New Roman" w:hAnsi="Times New Roman"/>
                <w:kern w:val="0"/>
                <w:sz w:val="22"/>
                <w:szCs w:val="24"/>
              </w:rPr>
              <w:t>公用经费</w:t>
            </w:r>
            <w:r>
              <w:rPr>
                <w:rFonts w:ascii="Times New Roman" w:hAnsi="Times New Roman"/>
                <w:kern w:val="0"/>
                <w:sz w:val="22"/>
                <w:szCs w:val="24"/>
              </w:rPr>
              <w:t>”</w:t>
            </w:r>
            <w:r>
              <w:rPr>
                <w:rFonts w:hint="eastAsia" w:ascii="Times New Roman" w:hAnsi="Times New Roman"/>
                <w:kern w:val="0"/>
                <w:sz w:val="22"/>
                <w:szCs w:val="24"/>
              </w:rPr>
              <w:t>填报基本支出中的一般商品和服务支出。</w:t>
            </w:r>
          </w:p>
        </w:tc>
      </w:tr>
    </w:tbl>
    <w:p>
      <w:pPr>
        <w:rPr>
          <w:rFonts w:ascii="Times New Roman" w:hAnsi="Times New Roman"/>
        </w:rPr>
      </w:pPr>
    </w:p>
    <w:p>
      <w:pPr>
        <w:spacing w:line="600" w:lineRule="exact"/>
        <w:rPr>
          <w:rFonts w:ascii="Times New Roman" w:hAnsi="Times New Roman" w:eastAsia="楷体_GB2312"/>
        </w:rPr>
      </w:pPr>
      <w:r>
        <w:rPr>
          <w:rFonts w:hint="eastAsia" w:ascii="Times New Roman" w:hAnsi="Times New Roman" w:eastAsia="楷体_GB2312"/>
        </w:rPr>
        <w:t>附件4</w:t>
      </w:r>
    </w:p>
    <w:p>
      <w:pPr>
        <w:widowControl/>
        <w:spacing w:line="240" w:lineRule="auto"/>
        <w:ind w:left="91"/>
        <w:jc w:val="center"/>
        <w:rPr>
          <w:rFonts w:ascii="Times New Roman" w:hAnsi="Times New Roman" w:eastAsia="方正小标宋简体"/>
          <w:kern w:val="0"/>
          <w:sz w:val="44"/>
          <w:szCs w:val="44"/>
        </w:rPr>
      </w:pPr>
      <w:r>
        <w:rPr>
          <w:rFonts w:ascii="Times New Roman" w:hAnsi="Times New Roman" w:eastAsia="方正小标宋简体"/>
          <w:kern w:val="0"/>
          <w:sz w:val="44"/>
          <w:szCs w:val="44"/>
        </w:rPr>
        <w:t xml:space="preserve">  </w:t>
      </w:r>
      <w:bookmarkStart w:id="0" w:name="_GoBack"/>
      <w:r>
        <w:rPr>
          <w:rFonts w:hint="eastAsia" w:ascii="Times New Roman" w:hAnsi="Times New Roman" w:eastAsia="方正小标宋简体"/>
          <w:kern w:val="0"/>
          <w:sz w:val="44"/>
          <w:szCs w:val="44"/>
          <w:u w:val="single"/>
          <w:lang w:eastAsia="zh-CN"/>
        </w:rPr>
        <w:t>雷锋馆</w:t>
      </w:r>
      <w:r>
        <w:rPr>
          <w:rFonts w:hint="eastAsia" w:ascii="Times New Roman" w:hAnsi="Times New Roman" w:eastAsia="方正小标宋简体"/>
          <w:kern w:val="0"/>
          <w:sz w:val="44"/>
          <w:szCs w:val="44"/>
        </w:rPr>
        <w:t>部门整体支出绩效评价自评表</w:t>
      </w:r>
    </w:p>
    <w:bookmarkEnd w:id="0"/>
    <w:tbl>
      <w:tblPr>
        <w:tblStyle w:val="8"/>
        <w:tblW w:w="10524" w:type="dxa"/>
        <w:jc w:val="center"/>
        <w:tblInd w:w="0" w:type="dxa"/>
        <w:tblLayout w:type="fixed"/>
        <w:tblCellMar>
          <w:top w:w="0" w:type="dxa"/>
          <w:left w:w="108" w:type="dxa"/>
          <w:bottom w:w="0" w:type="dxa"/>
          <w:right w:w="108" w:type="dxa"/>
        </w:tblCellMar>
      </w:tblPr>
      <w:tblGrid>
        <w:gridCol w:w="648"/>
        <w:gridCol w:w="416"/>
        <w:gridCol w:w="673"/>
        <w:gridCol w:w="416"/>
        <w:gridCol w:w="1072"/>
        <w:gridCol w:w="416"/>
        <w:gridCol w:w="2324"/>
        <w:gridCol w:w="3153"/>
        <w:gridCol w:w="637"/>
        <w:gridCol w:w="769"/>
      </w:tblGrid>
      <w:tr>
        <w:tblPrEx>
          <w:tblLayout w:type="fixed"/>
          <w:tblCellMar>
            <w:top w:w="0" w:type="dxa"/>
            <w:left w:w="108" w:type="dxa"/>
            <w:bottom w:w="0" w:type="dxa"/>
            <w:right w:w="108" w:type="dxa"/>
          </w:tblCellMar>
        </w:tblPrEx>
        <w:trPr>
          <w:trHeight w:val="483" w:hRule="atLeast"/>
          <w:tblHeader/>
          <w:jc w:val="center"/>
        </w:trPr>
        <w:tc>
          <w:tcPr>
            <w:tcW w:w="64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一级指标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分值</w:t>
            </w:r>
          </w:p>
        </w:tc>
        <w:tc>
          <w:tcPr>
            <w:tcW w:w="67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二级指标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分值</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三级</w:t>
            </w:r>
          </w:p>
          <w:p>
            <w:pPr>
              <w:widowControl/>
              <w:spacing w:line="28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分值</w:t>
            </w:r>
          </w:p>
        </w:tc>
        <w:tc>
          <w:tcPr>
            <w:tcW w:w="232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评价标准</w:t>
            </w:r>
          </w:p>
        </w:tc>
        <w:tc>
          <w:tcPr>
            <w:tcW w:w="315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指标说明</w:t>
            </w:r>
          </w:p>
        </w:tc>
        <w:tc>
          <w:tcPr>
            <w:tcW w:w="63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得分</w:t>
            </w:r>
          </w:p>
        </w:tc>
        <w:tc>
          <w:tcPr>
            <w:tcW w:w="769" w:type="dxa"/>
            <w:tcBorders>
              <w:top w:val="single" w:color="auto" w:sz="4" w:space="0"/>
              <w:left w:val="nil"/>
              <w:bottom w:val="single" w:color="auto" w:sz="4" w:space="0"/>
              <w:right w:val="single" w:color="auto" w:sz="4" w:space="0"/>
            </w:tcBorders>
          </w:tcPr>
          <w:p>
            <w:pPr>
              <w:widowControl/>
              <w:spacing w:line="28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得分依据</w:t>
            </w:r>
          </w:p>
        </w:tc>
      </w:tr>
      <w:tr>
        <w:tblPrEx>
          <w:tblLayout w:type="fixed"/>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投入</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ascii="Times New Roman" w:hAnsi="Times New Roman"/>
                <w:kern w:val="0"/>
                <w:sz w:val="20"/>
                <w:szCs w:val="20"/>
                <w:highlight w:val="none"/>
              </w:rPr>
              <w:t>13</w:t>
            </w:r>
          </w:p>
        </w:tc>
        <w:tc>
          <w:tcPr>
            <w:tcW w:w="673" w:type="dxa"/>
            <w:vMerge w:val="restart"/>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预算配置</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ascii="Times New Roman" w:hAnsi="Times New Roman"/>
                <w:kern w:val="0"/>
                <w:sz w:val="20"/>
                <w:szCs w:val="20"/>
                <w:highlight w:val="none"/>
              </w:rPr>
              <w:t>13</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在职人员控制率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ascii="Times New Roman" w:hAnsi="Times New Roman"/>
                <w:kern w:val="0"/>
                <w:sz w:val="20"/>
                <w:szCs w:val="20"/>
                <w:highlight w:val="none"/>
              </w:rPr>
              <w:t>5</w:t>
            </w:r>
          </w:p>
        </w:tc>
        <w:tc>
          <w:tcPr>
            <w:tcW w:w="2324" w:type="dxa"/>
            <w:tcBorders>
              <w:top w:val="nil"/>
              <w:left w:val="nil"/>
              <w:bottom w:val="nil"/>
              <w:right w:val="nil"/>
            </w:tcBorders>
            <w:vAlign w:val="center"/>
          </w:tcPr>
          <w:p>
            <w:pPr>
              <w:widowControl/>
              <w:spacing w:line="30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以</w:t>
            </w:r>
            <w:r>
              <w:rPr>
                <w:rFonts w:ascii="Times New Roman" w:hAnsi="Times New Roman"/>
                <w:kern w:val="0"/>
                <w:sz w:val="20"/>
                <w:szCs w:val="20"/>
                <w:highlight w:val="none"/>
              </w:rPr>
              <w:t>100%</w:t>
            </w:r>
            <w:r>
              <w:rPr>
                <w:rFonts w:hint="eastAsia" w:ascii="Times New Roman" w:hAnsi="Times New Roman"/>
                <w:kern w:val="0"/>
                <w:sz w:val="20"/>
                <w:szCs w:val="20"/>
                <w:highlight w:val="none"/>
              </w:rPr>
              <w:t>为标准。在职人员控制率</w:t>
            </w:r>
            <w:r>
              <w:rPr>
                <w:rFonts w:hint="eastAsia" w:ascii="宋体" w:hAnsi="宋体" w:eastAsia="宋体" w:cs="宋体"/>
                <w:kern w:val="0"/>
                <w:sz w:val="20"/>
                <w:szCs w:val="20"/>
                <w:highlight w:val="none"/>
              </w:rPr>
              <w:t>≦</w:t>
            </w:r>
            <w:r>
              <w:rPr>
                <w:rFonts w:ascii="Times New Roman" w:hAnsi="Times New Roman"/>
                <w:kern w:val="0"/>
                <w:sz w:val="20"/>
                <w:szCs w:val="20"/>
                <w:highlight w:val="none"/>
              </w:rPr>
              <w:t>100%</w:t>
            </w:r>
            <w:r>
              <w:rPr>
                <w:rFonts w:hint="eastAsia" w:ascii="Times New Roman" w:hAnsi="Times New Roman"/>
                <w:kern w:val="0"/>
                <w:sz w:val="20"/>
                <w:szCs w:val="20"/>
                <w:highlight w:val="none"/>
              </w:rPr>
              <w:t>，计</w:t>
            </w:r>
            <w:r>
              <w:rPr>
                <w:rFonts w:ascii="Times New Roman" w:hAnsi="Times New Roman"/>
                <w:kern w:val="0"/>
                <w:sz w:val="20"/>
                <w:szCs w:val="20"/>
                <w:highlight w:val="none"/>
              </w:rPr>
              <w:t>5</w:t>
            </w:r>
            <w:r>
              <w:rPr>
                <w:rFonts w:hint="eastAsia" w:ascii="Times New Roman" w:hAnsi="Times New Roman"/>
                <w:kern w:val="0"/>
                <w:sz w:val="20"/>
                <w:szCs w:val="20"/>
                <w:highlight w:val="none"/>
              </w:rPr>
              <w:t>分；每超过一个百分点扣</w:t>
            </w:r>
            <w:r>
              <w:rPr>
                <w:rFonts w:ascii="Times New Roman" w:hAnsi="Times New Roman"/>
                <w:kern w:val="0"/>
                <w:sz w:val="20"/>
                <w:szCs w:val="20"/>
                <w:highlight w:val="none"/>
              </w:rPr>
              <w:t>0.5</w:t>
            </w:r>
            <w:r>
              <w:rPr>
                <w:rFonts w:hint="eastAsia" w:ascii="Times New Roman" w:hAnsi="Times New Roman"/>
                <w:kern w:val="0"/>
                <w:sz w:val="20"/>
                <w:szCs w:val="20"/>
                <w:highlight w:val="none"/>
              </w:rPr>
              <w:t>分，扣完为止。</w:t>
            </w:r>
          </w:p>
        </w:tc>
        <w:tc>
          <w:tcPr>
            <w:tcW w:w="3153" w:type="dxa"/>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在职人员控制率</w:t>
            </w:r>
            <w:r>
              <w:rPr>
                <w:rFonts w:ascii="Times New Roman" w:hAnsi="Times New Roman"/>
                <w:kern w:val="0"/>
                <w:sz w:val="20"/>
                <w:szCs w:val="20"/>
                <w:highlight w:val="none"/>
              </w:rPr>
              <w:t>=</w:t>
            </w:r>
            <w:r>
              <w:rPr>
                <w:rFonts w:hint="eastAsia" w:ascii="Times New Roman" w:hAnsi="Times New Roman"/>
                <w:kern w:val="0"/>
                <w:sz w:val="20"/>
                <w:szCs w:val="20"/>
                <w:highlight w:val="none"/>
              </w:rPr>
              <w:t>（在职人员数</w:t>
            </w:r>
            <w:r>
              <w:rPr>
                <w:rFonts w:ascii="Times New Roman" w:hAnsi="Times New Roman"/>
                <w:kern w:val="0"/>
                <w:sz w:val="20"/>
                <w:szCs w:val="20"/>
                <w:highlight w:val="none"/>
              </w:rPr>
              <w:t>/</w:t>
            </w:r>
            <w:r>
              <w:rPr>
                <w:rFonts w:hint="eastAsia" w:ascii="Times New Roman" w:hAnsi="Times New Roman"/>
                <w:kern w:val="0"/>
                <w:sz w:val="20"/>
                <w:szCs w:val="20"/>
                <w:highlight w:val="none"/>
              </w:rPr>
              <w:t>编制数）</w:t>
            </w:r>
            <w:r>
              <w:rPr>
                <w:rFonts w:ascii="Times New Roman" w:hAnsi="Times New Roman"/>
                <w:kern w:val="0"/>
                <w:sz w:val="20"/>
                <w:szCs w:val="20"/>
                <w:highlight w:val="none"/>
              </w:rPr>
              <w:t>×100%</w:t>
            </w:r>
            <w:r>
              <w:rPr>
                <w:rFonts w:hint="eastAsia" w:ascii="Times New Roman" w:hAnsi="Times New Roman"/>
                <w:kern w:val="0"/>
                <w:sz w:val="20"/>
                <w:szCs w:val="20"/>
                <w:highlight w:val="none"/>
              </w:rPr>
              <w:t>，在职人员数：部门（单位）实际在职人数。</w:t>
            </w:r>
          </w:p>
          <w:p>
            <w:pPr>
              <w:widowControl/>
              <w:spacing w:line="30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编制数：机构编制部门核定批复的部门（单位）的人员编制数。</w:t>
            </w:r>
          </w:p>
        </w:tc>
        <w:tc>
          <w:tcPr>
            <w:tcW w:w="637" w:type="dxa"/>
            <w:tcBorders>
              <w:top w:val="nil"/>
              <w:left w:val="nil"/>
              <w:bottom w:val="single" w:color="auto" w:sz="4" w:space="0"/>
              <w:right w:val="single" w:color="auto" w:sz="4" w:space="0"/>
            </w:tcBorders>
            <w:vAlign w:val="center"/>
          </w:tcPr>
          <w:p>
            <w:pPr>
              <w:widowControl/>
              <w:spacing w:line="250" w:lineRule="exact"/>
              <w:jc w:val="center"/>
              <w:rPr>
                <w:rFonts w:ascii="Times New Roman" w:hAnsi="Times New Roman"/>
                <w:kern w:val="0"/>
                <w:sz w:val="24"/>
                <w:szCs w:val="24"/>
                <w:highlight w:val="none"/>
              </w:rPr>
            </w:pPr>
            <w:r>
              <w:rPr>
                <w:rFonts w:hint="eastAsia" w:eastAsia="仿宋_GB2312"/>
                <w:kern w:val="0"/>
                <w:sz w:val="20"/>
                <w:szCs w:val="20"/>
                <w:highlight w:val="none"/>
              </w:rPr>
              <w:t>5</w:t>
            </w:r>
          </w:p>
        </w:tc>
        <w:tc>
          <w:tcPr>
            <w:tcW w:w="769" w:type="dxa"/>
            <w:tcBorders>
              <w:top w:val="nil"/>
              <w:left w:val="nil"/>
              <w:bottom w:val="single" w:color="auto" w:sz="4" w:space="0"/>
              <w:right w:val="single" w:color="auto" w:sz="4" w:space="0"/>
            </w:tcBorders>
          </w:tcPr>
          <w:p>
            <w:pPr>
              <w:widowControl/>
              <w:spacing w:line="280" w:lineRule="exact"/>
              <w:jc w:val="center"/>
              <w:rPr>
                <w:rFonts w:hint="eastAsia" w:ascii="Times New Roman" w:hAnsi="Times New Roman" w:eastAsia="仿宋_GB2312"/>
                <w:kern w:val="0"/>
                <w:sz w:val="20"/>
                <w:szCs w:val="20"/>
                <w:highlight w:val="none"/>
                <w:lang w:val="en-US" w:eastAsia="zh-CN"/>
              </w:rPr>
            </w:pPr>
            <w:r>
              <w:rPr>
                <w:rFonts w:hint="eastAsia" w:ascii="Times New Roman" w:hAnsi="Times New Roman"/>
                <w:kern w:val="0"/>
                <w:sz w:val="20"/>
                <w:szCs w:val="20"/>
                <w:highlight w:val="none"/>
                <w:lang w:val="en-US" w:eastAsia="zh-CN"/>
              </w:rPr>
              <w:t>2018年在编18人，单位编制20人，在职人员控制率90%</w:t>
            </w: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673" w:type="dxa"/>
            <w:vMerge w:val="continue"/>
            <w:tcBorders>
              <w:top w:val="nil"/>
              <w:left w:val="nil"/>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三公经费</w:t>
            </w:r>
          </w:p>
          <w:p>
            <w:pPr>
              <w:widowControl/>
              <w:spacing w:line="32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变动率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ascii="Times New Roman" w:hAnsi="Times New Roman"/>
                <w:kern w:val="0"/>
                <w:sz w:val="20"/>
                <w:szCs w:val="20"/>
                <w:highlight w:val="none"/>
              </w:rPr>
              <w:t>8</w:t>
            </w:r>
          </w:p>
        </w:tc>
        <w:tc>
          <w:tcPr>
            <w:tcW w:w="2324" w:type="dxa"/>
            <w:tcBorders>
              <w:top w:val="single" w:color="auto" w:sz="4" w:space="0"/>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highlight w:val="none"/>
              </w:rPr>
            </w:pPr>
            <w:r>
              <w:rPr>
                <w:rFonts w:ascii="Times New Roman" w:hAnsi="Times New Roman"/>
                <w:kern w:val="0"/>
                <w:sz w:val="20"/>
                <w:szCs w:val="20"/>
                <w:highlight w:val="none"/>
              </w:rPr>
              <w:t>“</w:t>
            </w:r>
            <w:r>
              <w:rPr>
                <w:rFonts w:hint="eastAsia" w:ascii="Times New Roman" w:hAnsi="Times New Roman"/>
                <w:kern w:val="0"/>
                <w:sz w:val="20"/>
                <w:szCs w:val="20"/>
                <w:highlight w:val="none"/>
              </w:rPr>
              <w:t>三公经费</w:t>
            </w:r>
            <w:r>
              <w:rPr>
                <w:rFonts w:ascii="Times New Roman" w:hAnsi="Times New Roman"/>
                <w:kern w:val="0"/>
                <w:sz w:val="20"/>
                <w:szCs w:val="20"/>
                <w:highlight w:val="none"/>
              </w:rPr>
              <w:t>”</w:t>
            </w:r>
            <w:r>
              <w:rPr>
                <w:rFonts w:hint="eastAsia" w:ascii="Times New Roman" w:hAnsi="Times New Roman"/>
                <w:kern w:val="0"/>
                <w:sz w:val="20"/>
                <w:szCs w:val="20"/>
                <w:highlight w:val="none"/>
              </w:rPr>
              <w:t>变动率</w:t>
            </w:r>
            <w:r>
              <w:rPr>
                <w:rFonts w:hint="eastAsia" w:ascii="宋体" w:hAnsi="宋体" w:eastAsia="宋体" w:cs="宋体"/>
                <w:kern w:val="0"/>
                <w:sz w:val="20"/>
                <w:szCs w:val="20"/>
                <w:highlight w:val="none"/>
              </w:rPr>
              <w:t>≦</w:t>
            </w:r>
            <w:r>
              <w:rPr>
                <w:rFonts w:ascii="Times New Roman" w:hAnsi="Times New Roman"/>
                <w:kern w:val="0"/>
                <w:sz w:val="20"/>
                <w:szCs w:val="20"/>
                <w:highlight w:val="none"/>
              </w:rPr>
              <w:t>0</w:t>
            </w:r>
            <w:r>
              <w:rPr>
                <w:rFonts w:hint="eastAsia" w:ascii="Times New Roman" w:hAnsi="Times New Roman"/>
                <w:kern w:val="0"/>
                <w:sz w:val="20"/>
                <w:szCs w:val="20"/>
                <w:highlight w:val="none"/>
              </w:rPr>
              <w:t>，计</w:t>
            </w:r>
            <w:r>
              <w:rPr>
                <w:rFonts w:ascii="Times New Roman" w:hAnsi="Times New Roman"/>
                <w:kern w:val="0"/>
                <w:sz w:val="20"/>
                <w:szCs w:val="20"/>
                <w:highlight w:val="none"/>
              </w:rPr>
              <w:t>8</w:t>
            </w:r>
            <w:r>
              <w:rPr>
                <w:rFonts w:hint="eastAsia" w:ascii="Times New Roman" w:hAnsi="Times New Roman"/>
                <w:kern w:val="0"/>
                <w:sz w:val="20"/>
                <w:szCs w:val="20"/>
                <w:highlight w:val="none"/>
              </w:rPr>
              <w:t>分；</w:t>
            </w:r>
            <w:r>
              <w:rPr>
                <w:rFonts w:ascii="Times New Roman" w:hAnsi="Times New Roman"/>
                <w:kern w:val="0"/>
                <w:sz w:val="20"/>
                <w:szCs w:val="20"/>
                <w:highlight w:val="none"/>
              </w:rPr>
              <w:t>“</w:t>
            </w:r>
            <w:r>
              <w:rPr>
                <w:rFonts w:hint="eastAsia" w:ascii="Times New Roman" w:hAnsi="Times New Roman"/>
                <w:kern w:val="0"/>
                <w:sz w:val="20"/>
                <w:szCs w:val="20"/>
                <w:highlight w:val="none"/>
              </w:rPr>
              <w:t>三公经费</w:t>
            </w:r>
            <w:r>
              <w:rPr>
                <w:rFonts w:ascii="Times New Roman" w:hAnsi="Times New Roman"/>
                <w:kern w:val="0"/>
                <w:sz w:val="20"/>
                <w:szCs w:val="20"/>
                <w:highlight w:val="none"/>
              </w:rPr>
              <w:t>”</w:t>
            </w:r>
            <w:r>
              <w:rPr>
                <w:rFonts w:hint="eastAsia" w:ascii="Times New Roman" w:hAnsi="Times New Roman"/>
                <w:kern w:val="0"/>
                <w:sz w:val="20"/>
                <w:szCs w:val="20"/>
                <w:highlight w:val="none"/>
              </w:rPr>
              <w:t>＞</w:t>
            </w:r>
            <w:r>
              <w:rPr>
                <w:rFonts w:ascii="Times New Roman" w:hAnsi="Times New Roman"/>
                <w:kern w:val="0"/>
                <w:sz w:val="20"/>
                <w:szCs w:val="20"/>
                <w:highlight w:val="none"/>
              </w:rPr>
              <w:t>0</w:t>
            </w:r>
            <w:r>
              <w:rPr>
                <w:rFonts w:hint="eastAsia" w:ascii="Times New Roman" w:hAnsi="Times New Roman"/>
                <w:kern w:val="0"/>
                <w:sz w:val="20"/>
                <w:szCs w:val="20"/>
                <w:highlight w:val="none"/>
              </w:rPr>
              <w:t>，每超过一个百分点扣</w:t>
            </w:r>
            <w:r>
              <w:rPr>
                <w:rFonts w:ascii="Times New Roman" w:hAnsi="Times New Roman"/>
                <w:kern w:val="0"/>
                <w:sz w:val="20"/>
                <w:szCs w:val="20"/>
                <w:highlight w:val="none"/>
              </w:rPr>
              <w:t>0.8</w:t>
            </w:r>
            <w:r>
              <w:rPr>
                <w:rFonts w:hint="eastAsia" w:ascii="Times New Roman" w:hAnsi="Times New Roman"/>
                <w:kern w:val="0"/>
                <w:sz w:val="20"/>
                <w:szCs w:val="20"/>
                <w:highlight w:val="none"/>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highlight w:val="none"/>
              </w:rPr>
            </w:pPr>
            <w:r>
              <w:rPr>
                <w:rFonts w:ascii="Times New Roman" w:hAnsi="Times New Roman"/>
                <w:kern w:val="0"/>
                <w:sz w:val="20"/>
                <w:szCs w:val="20"/>
                <w:highlight w:val="none"/>
              </w:rPr>
              <w:t>“</w:t>
            </w:r>
            <w:r>
              <w:rPr>
                <w:rFonts w:hint="eastAsia" w:ascii="Times New Roman" w:hAnsi="Times New Roman"/>
                <w:kern w:val="0"/>
                <w:sz w:val="20"/>
                <w:szCs w:val="20"/>
                <w:highlight w:val="none"/>
              </w:rPr>
              <w:t>三公经费</w:t>
            </w:r>
            <w:r>
              <w:rPr>
                <w:rFonts w:ascii="Times New Roman" w:hAnsi="Times New Roman"/>
                <w:kern w:val="0"/>
                <w:sz w:val="20"/>
                <w:szCs w:val="20"/>
                <w:highlight w:val="none"/>
              </w:rPr>
              <w:t>”</w:t>
            </w:r>
            <w:r>
              <w:rPr>
                <w:rFonts w:hint="eastAsia" w:ascii="Times New Roman" w:hAnsi="Times New Roman"/>
                <w:kern w:val="0"/>
                <w:sz w:val="20"/>
                <w:szCs w:val="20"/>
                <w:highlight w:val="none"/>
              </w:rPr>
              <w:t>变动率</w:t>
            </w:r>
            <w:r>
              <w:rPr>
                <w:rFonts w:ascii="Times New Roman" w:hAnsi="Times New Roman"/>
                <w:kern w:val="0"/>
                <w:sz w:val="20"/>
                <w:szCs w:val="20"/>
                <w:highlight w:val="none"/>
              </w:rPr>
              <w:t>=[</w:t>
            </w:r>
            <w:r>
              <w:rPr>
                <w:rFonts w:hint="eastAsia" w:ascii="Times New Roman" w:hAnsi="Times New Roman"/>
                <w:kern w:val="0"/>
                <w:sz w:val="20"/>
                <w:szCs w:val="20"/>
                <w:highlight w:val="none"/>
              </w:rPr>
              <w:t>（本年度</w:t>
            </w:r>
            <w:r>
              <w:rPr>
                <w:rFonts w:ascii="Times New Roman" w:hAnsi="Times New Roman"/>
                <w:kern w:val="0"/>
                <w:sz w:val="20"/>
                <w:szCs w:val="20"/>
                <w:highlight w:val="none"/>
              </w:rPr>
              <w:t>“</w:t>
            </w:r>
            <w:r>
              <w:rPr>
                <w:rFonts w:hint="eastAsia" w:ascii="Times New Roman" w:hAnsi="Times New Roman"/>
                <w:kern w:val="0"/>
                <w:sz w:val="20"/>
                <w:szCs w:val="20"/>
                <w:highlight w:val="none"/>
              </w:rPr>
              <w:t>三公经费</w:t>
            </w:r>
            <w:r>
              <w:rPr>
                <w:rFonts w:ascii="Times New Roman" w:hAnsi="Times New Roman"/>
                <w:kern w:val="0"/>
                <w:sz w:val="20"/>
                <w:szCs w:val="20"/>
                <w:highlight w:val="none"/>
              </w:rPr>
              <w:t>”</w:t>
            </w:r>
            <w:r>
              <w:rPr>
                <w:rFonts w:hint="eastAsia" w:ascii="Times New Roman" w:hAnsi="Times New Roman"/>
                <w:kern w:val="0"/>
                <w:sz w:val="20"/>
                <w:szCs w:val="20"/>
                <w:highlight w:val="none"/>
              </w:rPr>
              <w:t>预算数</w:t>
            </w:r>
            <w:r>
              <w:rPr>
                <w:rFonts w:ascii="Times New Roman" w:hAnsi="Times New Roman"/>
                <w:kern w:val="0"/>
                <w:sz w:val="20"/>
                <w:szCs w:val="20"/>
                <w:highlight w:val="none"/>
              </w:rPr>
              <w:t>-</w:t>
            </w:r>
            <w:r>
              <w:rPr>
                <w:rFonts w:hint="eastAsia" w:ascii="Times New Roman" w:hAnsi="Times New Roman"/>
                <w:kern w:val="0"/>
                <w:sz w:val="20"/>
                <w:szCs w:val="20"/>
                <w:highlight w:val="none"/>
              </w:rPr>
              <w:t>上年度</w:t>
            </w:r>
            <w:r>
              <w:rPr>
                <w:rFonts w:ascii="Times New Roman" w:hAnsi="Times New Roman"/>
                <w:kern w:val="0"/>
                <w:sz w:val="20"/>
                <w:szCs w:val="20"/>
                <w:highlight w:val="none"/>
              </w:rPr>
              <w:t>“</w:t>
            </w:r>
            <w:r>
              <w:rPr>
                <w:rFonts w:hint="eastAsia" w:ascii="Times New Roman" w:hAnsi="Times New Roman"/>
                <w:kern w:val="0"/>
                <w:sz w:val="20"/>
                <w:szCs w:val="20"/>
                <w:highlight w:val="none"/>
              </w:rPr>
              <w:t>三公经费</w:t>
            </w:r>
            <w:r>
              <w:rPr>
                <w:rFonts w:ascii="Times New Roman" w:hAnsi="Times New Roman"/>
                <w:kern w:val="0"/>
                <w:sz w:val="20"/>
                <w:szCs w:val="20"/>
                <w:highlight w:val="none"/>
              </w:rPr>
              <w:t>”</w:t>
            </w:r>
            <w:r>
              <w:rPr>
                <w:rFonts w:hint="eastAsia" w:ascii="Times New Roman" w:hAnsi="Times New Roman"/>
                <w:kern w:val="0"/>
                <w:sz w:val="20"/>
                <w:szCs w:val="20"/>
                <w:highlight w:val="none"/>
              </w:rPr>
              <w:t>预算数）</w:t>
            </w:r>
            <w:r>
              <w:rPr>
                <w:rFonts w:ascii="Times New Roman" w:hAnsi="Times New Roman"/>
                <w:kern w:val="0"/>
                <w:sz w:val="20"/>
                <w:szCs w:val="20"/>
                <w:highlight w:val="none"/>
              </w:rPr>
              <w:t>/</w:t>
            </w:r>
            <w:r>
              <w:rPr>
                <w:rFonts w:hint="eastAsia" w:ascii="Times New Roman" w:hAnsi="Times New Roman"/>
                <w:kern w:val="0"/>
                <w:sz w:val="20"/>
                <w:szCs w:val="20"/>
                <w:highlight w:val="none"/>
              </w:rPr>
              <w:t>上年度</w:t>
            </w:r>
            <w:r>
              <w:rPr>
                <w:rFonts w:ascii="Times New Roman" w:hAnsi="Times New Roman"/>
                <w:kern w:val="0"/>
                <w:sz w:val="20"/>
                <w:szCs w:val="20"/>
                <w:highlight w:val="none"/>
              </w:rPr>
              <w:t>“</w:t>
            </w:r>
            <w:r>
              <w:rPr>
                <w:rFonts w:hint="eastAsia" w:ascii="Times New Roman" w:hAnsi="Times New Roman"/>
                <w:kern w:val="0"/>
                <w:sz w:val="20"/>
                <w:szCs w:val="20"/>
                <w:highlight w:val="none"/>
              </w:rPr>
              <w:t>三公经费</w:t>
            </w:r>
            <w:r>
              <w:rPr>
                <w:rFonts w:ascii="Times New Roman" w:hAnsi="Times New Roman"/>
                <w:kern w:val="0"/>
                <w:sz w:val="20"/>
                <w:szCs w:val="20"/>
                <w:highlight w:val="none"/>
              </w:rPr>
              <w:t>”</w:t>
            </w:r>
            <w:r>
              <w:rPr>
                <w:rFonts w:hint="eastAsia" w:ascii="Times New Roman" w:hAnsi="Times New Roman"/>
                <w:kern w:val="0"/>
                <w:sz w:val="20"/>
                <w:szCs w:val="20"/>
                <w:highlight w:val="none"/>
              </w:rPr>
              <w:t>预算数</w:t>
            </w:r>
            <w:r>
              <w:rPr>
                <w:rFonts w:ascii="Times New Roman" w:hAnsi="Times New Roman"/>
                <w:kern w:val="0"/>
                <w:sz w:val="20"/>
                <w:szCs w:val="20"/>
                <w:highlight w:val="none"/>
              </w:rPr>
              <w:t>]×100%</w:t>
            </w:r>
          </w:p>
        </w:tc>
        <w:tc>
          <w:tcPr>
            <w:tcW w:w="637" w:type="dxa"/>
            <w:tcBorders>
              <w:top w:val="nil"/>
              <w:left w:val="nil"/>
              <w:bottom w:val="single" w:color="auto" w:sz="4" w:space="0"/>
              <w:right w:val="single" w:color="auto" w:sz="4" w:space="0"/>
            </w:tcBorders>
            <w:vAlign w:val="center"/>
          </w:tcPr>
          <w:p>
            <w:pPr>
              <w:widowControl/>
              <w:spacing w:line="250" w:lineRule="exact"/>
              <w:jc w:val="center"/>
              <w:rPr>
                <w:rFonts w:hint="eastAsia" w:ascii="Times New Roman" w:hAnsi="Times New Roman" w:eastAsia="仿宋_GB2312"/>
                <w:kern w:val="0"/>
                <w:sz w:val="24"/>
                <w:szCs w:val="24"/>
                <w:highlight w:val="none"/>
                <w:lang w:eastAsia="zh-CN"/>
              </w:rPr>
            </w:pPr>
            <w:r>
              <w:rPr>
                <w:rFonts w:hint="eastAsia"/>
                <w:kern w:val="0"/>
                <w:sz w:val="20"/>
                <w:szCs w:val="20"/>
                <w:highlight w:val="none"/>
                <w:lang w:val="en-US" w:eastAsia="zh-CN"/>
              </w:rPr>
              <w:t>8</w:t>
            </w:r>
          </w:p>
        </w:tc>
        <w:tc>
          <w:tcPr>
            <w:tcW w:w="769" w:type="dxa"/>
            <w:tcBorders>
              <w:top w:val="nil"/>
              <w:left w:val="nil"/>
              <w:bottom w:val="single" w:color="auto" w:sz="4" w:space="0"/>
              <w:right w:val="single" w:color="auto" w:sz="4" w:space="0"/>
            </w:tcBorders>
          </w:tcPr>
          <w:p>
            <w:pPr>
              <w:widowControl/>
              <w:spacing w:line="280" w:lineRule="exact"/>
              <w:jc w:val="center"/>
              <w:rPr>
                <w:rFonts w:hint="eastAsia" w:ascii="Times New Roman" w:hAnsi="Times New Roman" w:eastAsia="仿宋_GB2312"/>
                <w:kern w:val="0"/>
                <w:sz w:val="24"/>
                <w:szCs w:val="24"/>
                <w:highlight w:val="none"/>
                <w:lang w:val="en-US" w:eastAsia="zh-CN"/>
              </w:rPr>
            </w:pPr>
            <w:r>
              <w:rPr>
                <w:rFonts w:hint="eastAsia" w:ascii="Times New Roman" w:hAnsi="Times New Roman"/>
                <w:kern w:val="0"/>
                <w:sz w:val="21"/>
                <w:szCs w:val="21"/>
                <w:highlight w:val="none"/>
                <w:lang w:val="en-US" w:eastAsia="zh-CN"/>
              </w:rPr>
              <w:t>2018年决算报表数据</w:t>
            </w:r>
          </w:p>
        </w:tc>
      </w:tr>
      <w:tr>
        <w:tblPrEx>
          <w:tblLayout w:type="fixed"/>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过程</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ascii="Times New Roman" w:hAnsi="Times New Roman"/>
                <w:kern w:val="0"/>
                <w:sz w:val="20"/>
                <w:szCs w:val="20"/>
                <w:highlight w:val="none"/>
              </w:rPr>
              <w:t>61</w:t>
            </w: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预算执行</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ascii="Times New Roman" w:hAnsi="Times New Roman"/>
                <w:kern w:val="0"/>
                <w:sz w:val="20"/>
                <w:szCs w:val="20"/>
                <w:highlight w:val="none"/>
              </w:rPr>
              <w:t>20</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预算</w:t>
            </w:r>
          </w:p>
          <w:p>
            <w:pPr>
              <w:widowControl/>
              <w:spacing w:line="32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完成率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ascii="Times New Roman" w:hAnsi="Times New Roman"/>
                <w:kern w:val="0"/>
                <w:sz w:val="20"/>
                <w:szCs w:val="20"/>
                <w:highlight w:val="none"/>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highlight w:val="none"/>
              </w:rPr>
            </w:pPr>
            <w:r>
              <w:rPr>
                <w:rFonts w:ascii="Times New Roman" w:hAnsi="Times New Roman"/>
                <w:kern w:val="0"/>
                <w:sz w:val="20"/>
                <w:szCs w:val="20"/>
                <w:highlight w:val="none"/>
              </w:rPr>
              <w:t>100%</w:t>
            </w:r>
            <w:r>
              <w:rPr>
                <w:rFonts w:hint="eastAsia" w:ascii="Times New Roman" w:hAnsi="Times New Roman"/>
                <w:kern w:val="0"/>
                <w:sz w:val="20"/>
                <w:szCs w:val="20"/>
                <w:highlight w:val="none"/>
              </w:rPr>
              <w:t>计满分，每低于</w:t>
            </w:r>
            <w:r>
              <w:rPr>
                <w:rFonts w:ascii="Times New Roman" w:hAnsi="Times New Roman"/>
                <w:kern w:val="0"/>
                <w:sz w:val="20"/>
                <w:szCs w:val="20"/>
                <w:highlight w:val="none"/>
              </w:rPr>
              <w:t>5%</w:t>
            </w:r>
            <w:r>
              <w:rPr>
                <w:rFonts w:hint="eastAsia" w:ascii="Times New Roman" w:hAnsi="Times New Roman"/>
                <w:kern w:val="0"/>
                <w:sz w:val="20"/>
                <w:szCs w:val="20"/>
                <w:highlight w:val="none"/>
              </w:rPr>
              <w:t>扣</w:t>
            </w:r>
            <w:r>
              <w:rPr>
                <w:rFonts w:ascii="Times New Roman" w:hAnsi="Times New Roman"/>
                <w:kern w:val="0"/>
                <w:sz w:val="20"/>
                <w:szCs w:val="20"/>
                <w:highlight w:val="none"/>
              </w:rPr>
              <w:t>2</w:t>
            </w:r>
            <w:r>
              <w:rPr>
                <w:rFonts w:hint="eastAsia" w:ascii="Times New Roman" w:hAnsi="Times New Roman"/>
                <w:kern w:val="0"/>
                <w:sz w:val="20"/>
                <w:szCs w:val="20"/>
                <w:highlight w:val="none"/>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预算完成率</w:t>
            </w:r>
            <w:r>
              <w:rPr>
                <w:rFonts w:ascii="Times New Roman" w:hAnsi="Times New Roman"/>
                <w:kern w:val="0"/>
                <w:sz w:val="20"/>
                <w:szCs w:val="20"/>
                <w:highlight w:val="none"/>
              </w:rPr>
              <w:t>=</w:t>
            </w:r>
            <w:r>
              <w:rPr>
                <w:rFonts w:hint="eastAsia" w:ascii="Times New Roman" w:hAnsi="Times New Roman"/>
                <w:kern w:val="0"/>
                <w:sz w:val="20"/>
                <w:szCs w:val="20"/>
                <w:highlight w:val="none"/>
              </w:rPr>
              <w:t>（上年结转</w:t>
            </w:r>
            <w:r>
              <w:rPr>
                <w:rFonts w:ascii="Times New Roman" w:hAnsi="Times New Roman"/>
                <w:kern w:val="0"/>
                <w:sz w:val="20"/>
                <w:szCs w:val="20"/>
                <w:highlight w:val="none"/>
              </w:rPr>
              <w:t>+</w:t>
            </w:r>
            <w:r>
              <w:rPr>
                <w:rFonts w:hint="eastAsia" w:ascii="Times New Roman" w:hAnsi="Times New Roman"/>
                <w:kern w:val="0"/>
                <w:sz w:val="20"/>
                <w:szCs w:val="20"/>
                <w:highlight w:val="none"/>
              </w:rPr>
              <w:t>年初预算</w:t>
            </w:r>
            <w:r>
              <w:rPr>
                <w:rFonts w:ascii="Times New Roman" w:hAnsi="Times New Roman"/>
                <w:kern w:val="0"/>
                <w:sz w:val="20"/>
                <w:szCs w:val="20"/>
                <w:highlight w:val="none"/>
              </w:rPr>
              <w:t>+</w:t>
            </w:r>
            <w:r>
              <w:rPr>
                <w:rFonts w:hint="eastAsia" w:ascii="Times New Roman" w:hAnsi="Times New Roman"/>
                <w:kern w:val="0"/>
                <w:sz w:val="20"/>
                <w:szCs w:val="20"/>
                <w:highlight w:val="none"/>
              </w:rPr>
              <w:t>本年追加预算</w:t>
            </w:r>
            <w:r>
              <w:rPr>
                <w:rFonts w:ascii="Times New Roman" w:hAnsi="Times New Roman"/>
                <w:kern w:val="0"/>
                <w:sz w:val="20"/>
                <w:szCs w:val="20"/>
                <w:highlight w:val="none"/>
              </w:rPr>
              <w:t>-</w:t>
            </w:r>
            <w:r>
              <w:rPr>
                <w:rFonts w:hint="eastAsia" w:ascii="Times New Roman" w:hAnsi="Times New Roman"/>
                <w:kern w:val="0"/>
                <w:sz w:val="20"/>
                <w:szCs w:val="20"/>
                <w:highlight w:val="none"/>
              </w:rPr>
              <w:t>年末结余</w:t>
            </w:r>
            <w:r>
              <w:rPr>
                <w:rFonts w:ascii="Times New Roman" w:hAnsi="Times New Roman"/>
                <w:kern w:val="0"/>
                <w:sz w:val="20"/>
                <w:szCs w:val="20"/>
                <w:highlight w:val="none"/>
              </w:rPr>
              <w:t>/</w:t>
            </w:r>
            <w:r>
              <w:rPr>
                <w:rFonts w:hint="eastAsia" w:ascii="Times New Roman" w:hAnsi="Times New Roman"/>
                <w:kern w:val="0"/>
                <w:sz w:val="20"/>
                <w:szCs w:val="20"/>
                <w:highlight w:val="none"/>
              </w:rPr>
              <w:t>上年结转</w:t>
            </w:r>
            <w:r>
              <w:rPr>
                <w:rFonts w:ascii="Times New Roman" w:hAnsi="Times New Roman"/>
                <w:kern w:val="0"/>
                <w:sz w:val="20"/>
                <w:szCs w:val="20"/>
                <w:highlight w:val="none"/>
              </w:rPr>
              <w:t>+</w:t>
            </w:r>
            <w:r>
              <w:rPr>
                <w:rFonts w:hint="eastAsia" w:ascii="Times New Roman" w:hAnsi="Times New Roman"/>
                <w:kern w:val="0"/>
                <w:sz w:val="20"/>
                <w:szCs w:val="20"/>
                <w:highlight w:val="none"/>
              </w:rPr>
              <w:t>年初预算</w:t>
            </w:r>
            <w:r>
              <w:rPr>
                <w:rFonts w:ascii="Times New Roman" w:hAnsi="Times New Roman"/>
                <w:kern w:val="0"/>
                <w:sz w:val="20"/>
                <w:szCs w:val="20"/>
                <w:highlight w:val="none"/>
              </w:rPr>
              <w:t>+</w:t>
            </w:r>
            <w:r>
              <w:rPr>
                <w:rFonts w:hint="eastAsia" w:ascii="Times New Roman" w:hAnsi="Times New Roman"/>
                <w:kern w:val="0"/>
                <w:sz w:val="20"/>
                <w:szCs w:val="20"/>
                <w:highlight w:val="none"/>
              </w:rPr>
              <w:t>本年追加预算）</w:t>
            </w:r>
            <w:r>
              <w:rPr>
                <w:rFonts w:ascii="Times New Roman" w:hAnsi="Times New Roman"/>
                <w:kern w:val="0"/>
                <w:sz w:val="20"/>
                <w:szCs w:val="20"/>
                <w:highlight w:val="none"/>
              </w:rPr>
              <w:t>×100%</w:t>
            </w:r>
            <w:r>
              <w:rPr>
                <w:rFonts w:hint="eastAsia" w:ascii="Times New Roman" w:hAnsi="Times New Roman"/>
                <w:kern w:val="0"/>
                <w:sz w:val="20"/>
                <w:szCs w:val="20"/>
                <w:highlight w:val="none"/>
              </w:rPr>
              <w:t>。</w:t>
            </w:r>
          </w:p>
        </w:tc>
        <w:tc>
          <w:tcPr>
            <w:tcW w:w="637" w:type="dxa"/>
            <w:tcBorders>
              <w:top w:val="nil"/>
              <w:left w:val="nil"/>
              <w:bottom w:val="single" w:color="auto" w:sz="4" w:space="0"/>
              <w:right w:val="single" w:color="auto" w:sz="4" w:space="0"/>
            </w:tcBorders>
            <w:vAlign w:val="center"/>
          </w:tcPr>
          <w:p>
            <w:pPr>
              <w:widowControl/>
              <w:spacing w:line="250" w:lineRule="exact"/>
              <w:jc w:val="center"/>
              <w:rPr>
                <w:rFonts w:ascii="Times New Roman" w:hAnsi="Times New Roman"/>
                <w:kern w:val="0"/>
                <w:sz w:val="24"/>
                <w:szCs w:val="24"/>
                <w:highlight w:val="none"/>
              </w:rPr>
            </w:pPr>
            <w:r>
              <w:rPr>
                <w:rFonts w:hint="eastAsia" w:eastAsia="仿宋_GB2312"/>
                <w:kern w:val="0"/>
                <w:sz w:val="20"/>
                <w:szCs w:val="20"/>
                <w:highlight w:val="none"/>
              </w:rPr>
              <w:t>4</w:t>
            </w:r>
          </w:p>
        </w:tc>
        <w:tc>
          <w:tcPr>
            <w:tcW w:w="769" w:type="dxa"/>
            <w:tcBorders>
              <w:top w:val="nil"/>
              <w:left w:val="nil"/>
              <w:bottom w:val="single" w:color="auto" w:sz="4" w:space="0"/>
              <w:right w:val="single" w:color="auto" w:sz="4" w:space="0"/>
            </w:tcBorders>
          </w:tcPr>
          <w:p>
            <w:pPr>
              <w:widowControl/>
              <w:spacing w:line="280" w:lineRule="exact"/>
              <w:jc w:val="center"/>
              <w:rPr>
                <w:rFonts w:ascii="Times New Roman" w:hAnsi="Times New Roman"/>
                <w:kern w:val="0"/>
                <w:sz w:val="24"/>
                <w:szCs w:val="24"/>
                <w:highlight w:val="none"/>
              </w:rPr>
            </w:pPr>
            <w:r>
              <w:rPr>
                <w:rFonts w:hint="eastAsia" w:ascii="Times New Roman" w:hAnsi="Times New Roman"/>
                <w:kern w:val="0"/>
                <w:sz w:val="21"/>
                <w:szCs w:val="21"/>
                <w:highlight w:val="none"/>
                <w:lang w:val="en-US" w:eastAsia="zh-CN"/>
              </w:rPr>
              <w:t>2018年决算报表数据</w:t>
            </w:r>
          </w:p>
        </w:tc>
      </w:tr>
      <w:tr>
        <w:tblPrEx>
          <w:tblLayout w:type="fixed"/>
          <w:tblCellMar>
            <w:top w:w="0" w:type="dxa"/>
            <w:left w:w="108" w:type="dxa"/>
            <w:bottom w:w="0" w:type="dxa"/>
            <w:right w:w="108" w:type="dxa"/>
          </w:tblCellMar>
        </w:tblPrEx>
        <w:trPr>
          <w:trHeight w:val="973"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预算</w:t>
            </w:r>
          </w:p>
          <w:p>
            <w:pPr>
              <w:widowControl/>
              <w:spacing w:line="32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ascii="Times New Roman" w:hAnsi="Times New Roman"/>
                <w:kern w:val="0"/>
                <w:sz w:val="20"/>
                <w:szCs w:val="20"/>
                <w:highlight w:val="none"/>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预算控制率</w:t>
            </w:r>
            <w:r>
              <w:rPr>
                <w:rFonts w:ascii="Times New Roman" w:hAnsi="Times New Roman"/>
                <w:kern w:val="0"/>
                <w:sz w:val="20"/>
                <w:szCs w:val="20"/>
                <w:highlight w:val="none"/>
              </w:rPr>
              <w:t>=0</w:t>
            </w:r>
            <w:r>
              <w:rPr>
                <w:rFonts w:hint="eastAsia" w:ascii="Times New Roman" w:hAnsi="Times New Roman"/>
                <w:kern w:val="0"/>
                <w:sz w:val="20"/>
                <w:szCs w:val="20"/>
                <w:highlight w:val="none"/>
              </w:rPr>
              <w:t>，计</w:t>
            </w:r>
            <w:r>
              <w:rPr>
                <w:rFonts w:ascii="Times New Roman" w:hAnsi="Times New Roman"/>
                <w:kern w:val="0"/>
                <w:sz w:val="20"/>
                <w:szCs w:val="20"/>
                <w:highlight w:val="none"/>
              </w:rPr>
              <w:t>5</w:t>
            </w:r>
            <w:r>
              <w:rPr>
                <w:rFonts w:hint="eastAsia" w:ascii="Times New Roman" w:hAnsi="Times New Roman"/>
                <w:kern w:val="0"/>
                <w:sz w:val="20"/>
                <w:szCs w:val="20"/>
                <w:highlight w:val="none"/>
              </w:rPr>
              <w:t>分；</w:t>
            </w:r>
            <w:r>
              <w:rPr>
                <w:rFonts w:ascii="Times New Roman" w:hAnsi="Times New Roman"/>
                <w:kern w:val="0"/>
                <w:sz w:val="20"/>
                <w:szCs w:val="20"/>
                <w:highlight w:val="none"/>
              </w:rPr>
              <w:t>0-10%</w:t>
            </w:r>
            <w:r>
              <w:rPr>
                <w:rFonts w:hint="eastAsia" w:ascii="Times New Roman" w:hAnsi="Times New Roman"/>
                <w:kern w:val="0"/>
                <w:sz w:val="20"/>
                <w:szCs w:val="20"/>
                <w:highlight w:val="none"/>
              </w:rPr>
              <w:t>（含），计</w:t>
            </w:r>
            <w:r>
              <w:rPr>
                <w:rFonts w:ascii="Times New Roman" w:hAnsi="Times New Roman"/>
                <w:kern w:val="0"/>
                <w:sz w:val="20"/>
                <w:szCs w:val="20"/>
                <w:highlight w:val="none"/>
              </w:rPr>
              <w:t>4</w:t>
            </w:r>
            <w:r>
              <w:rPr>
                <w:rFonts w:hint="eastAsia" w:ascii="Times New Roman" w:hAnsi="Times New Roman"/>
                <w:kern w:val="0"/>
                <w:sz w:val="20"/>
                <w:szCs w:val="20"/>
                <w:highlight w:val="none"/>
              </w:rPr>
              <w:t>分；</w:t>
            </w:r>
            <w:r>
              <w:rPr>
                <w:rFonts w:ascii="Times New Roman" w:hAnsi="Times New Roman"/>
                <w:kern w:val="0"/>
                <w:sz w:val="20"/>
                <w:szCs w:val="20"/>
                <w:highlight w:val="none"/>
              </w:rPr>
              <w:t>10-20%</w:t>
            </w:r>
            <w:r>
              <w:rPr>
                <w:rFonts w:hint="eastAsia" w:ascii="Times New Roman" w:hAnsi="Times New Roman"/>
                <w:kern w:val="0"/>
                <w:sz w:val="20"/>
                <w:szCs w:val="20"/>
                <w:highlight w:val="none"/>
              </w:rPr>
              <w:t>（含），计</w:t>
            </w:r>
            <w:r>
              <w:rPr>
                <w:rFonts w:ascii="Times New Roman" w:hAnsi="Times New Roman"/>
                <w:kern w:val="0"/>
                <w:sz w:val="20"/>
                <w:szCs w:val="20"/>
                <w:highlight w:val="none"/>
              </w:rPr>
              <w:t>3</w:t>
            </w:r>
            <w:r>
              <w:rPr>
                <w:rFonts w:hint="eastAsia" w:ascii="Times New Roman" w:hAnsi="Times New Roman"/>
                <w:kern w:val="0"/>
                <w:sz w:val="20"/>
                <w:szCs w:val="20"/>
                <w:highlight w:val="none"/>
              </w:rPr>
              <w:t>分；</w:t>
            </w:r>
            <w:r>
              <w:rPr>
                <w:rFonts w:ascii="Times New Roman" w:hAnsi="Times New Roman"/>
                <w:kern w:val="0"/>
                <w:sz w:val="20"/>
                <w:szCs w:val="20"/>
                <w:highlight w:val="none"/>
              </w:rPr>
              <w:t>20-30%</w:t>
            </w:r>
            <w:r>
              <w:rPr>
                <w:rFonts w:hint="eastAsia" w:ascii="Times New Roman" w:hAnsi="Times New Roman"/>
                <w:kern w:val="0"/>
                <w:sz w:val="20"/>
                <w:szCs w:val="20"/>
                <w:highlight w:val="none"/>
              </w:rPr>
              <w:t>（含），计</w:t>
            </w:r>
            <w:r>
              <w:rPr>
                <w:rFonts w:ascii="Times New Roman" w:hAnsi="Times New Roman"/>
                <w:kern w:val="0"/>
                <w:sz w:val="20"/>
                <w:szCs w:val="20"/>
                <w:highlight w:val="none"/>
              </w:rPr>
              <w:t>2</w:t>
            </w:r>
            <w:r>
              <w:rPr>
                <w:rFonts w:hint="eastAsia" w:ascii="Times New Roman" w:hAnsi="Times New Roman"/>
                <w:kern w:val="0"/>
                <w:sz w:val="20"/>
                <w:szCs w:val="20"/>
                <w:highlight w:val="none"/>
              </w:rPr>
              <w:t>分；大于</w:t>
            </w:r>
            <w:r>
              <w:rPr>
                <w:rFonts w:ascii="Times New Roman" w:hAnsi="Times New Roman"/>
                <w:kern w:val="0"/>
                <w:sz w:val="20"/>
                <w:szCs w:val="20"/>
                <w:highlight w:val="none"/>
              </w:rPr>
              <w:t>30%</w:t>
            </w:r>
            <w:r>
              <w:rPr>
                <w:rFonts w:hint="eastAsia" w:ascii="Times New Roman" w:hAnsi="Times New Roman"/>
                <w:kern w:val="0"/>
                <w:sz w:val="20"/>
                <w:szCs w:val="20"/>
                <w:highlight w:val="none"/>
              </w:rPr>
              <w:t>不得分</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预算控制率</w:t>
            </w:r>
            <w:r>
              <w:rPr>
                <w:rFonts w:ascii="Times New Roman" w:hAnsi="Times New Roman"/>
                <w:kern w:val="0"/>
                <w:sz w:val="20"/>
                <w:szCs w:val="20"/>
                <w:highlight w:val="none"/>
              </w:rPr>
              <w:t>=</w:t>
            </w:r>
            <w:r>
              <w:rPr>
                <w:rFonts w:hint="eastAsia" w:ascii="Times New Roman" w:hAnsi="Times New Roman"/>
                <w:kern w:val="0"/>
                <w:sz w:val="20"/>
                <w:szCs w:val="20"/>
                <w:highlight w:val="none"/>
              </w:rPr>
              <w:t>（本年追加预算</w:t>
            </w:r>
            <w:r>
              <w:rPr>
                <w:rFonts w:ascii="Times New Roman" w:hAnsi="Times New Roman"/>
                <w:kern w:val="0"/>
                <w:sz w:val="20"/>
                <w:szCs w:val="20"/>
                <w:highlight w:val="none"/>
              </w:rPr>
              <w:t>/</w:t>
            </w:r>
            <w:r>
              <w:rPr>
                <w:rFonts w:hint="eastAsia" w:ascii="Times New Roman" w:hAnsi="Times New Roman"/>
                <w:kern w:val="0"/>
                <w:sz w:val="20"/>
                <w:szCs w:val="20"/>
                <w:highlight w:val="none"/>
              </w:rPr>
              <w:t>年初预算）</w:t>
            </w:r>
            <w:r>
              <w:rPr>
                <w:rFonts w:ascii="Times New Roman" w:hAnsi="Times New Roman"/>
                <w:kern w:val="0"/>
                <w:sz w:val="20"/>
                <w:szCs w:val="20"/>
                <w:highlight w:val="none"/>
              </w:rPr>
              <w:t>×100%</w:t>
            </w:r>
            <w:r>
              <w:rPr>
                <w:rFonts w:hint="eastAsia" w:ascii="Times New Roman" w:hAnsi="Times New Roman"/>
                <w:kern w:val="0"/>
                <w:sz w:val="20"/>
                <w:szCs w:val="20"/>
                <w:highlight w:val="none"/>
              </w:rPr>
              <w:t>。</w:t>
            </w:r>
          </w:p>
        </w:tc>
        <w:tc>
          <w:tcPr>
            <w:tcW w:w="637" w:type="dxa"/>
            <w:tcBorders>
              <w:top w:val="nil"/>
              <w:left w:val="nil"/>
              <w:bottom w:val="single" w:color="auto" w:sz="4" w:space="0"/>
              <w:right w:val="single" w:color="auto" w:sz="4" w:space="0"/>
            </w:tcBorders>
            <w:vAlign w:val="center"/>
          </w:tcPr>
          <w:p>
            <w:pPr>
              <w:widowControl/>
              <w:spacing w:line="250" w:lineRule="exact"/>
              <w:jc w:val="center"/>
              <w:rPr>
                <w:rFonts w:ascii="Times New Roman" w:hAnsi="Times New Roman"/>
                <w:kern w:val="0"/>
                <w:sz w:val="24"/>
                <w:szCs w:val="24"/>
                <w:highlight w:val="none"/>
              </w:rPr>
            </w:pPr>
            <w:r>
              <w:rPr>
                <w:rFonts w:hint="eastAsia" w:eastAsia="仿宋_GB2312"/>
                <w:kern w:val="0"/>
                <w:sz w:val="20"/>
                <w:szCs w:val="20"/>
                <w:highlight w:val="none"/>
              </w:rPr>
              <w:t>5</w:t>
            </w:r>
          </w:p>
        </w:tc>
        <w:tc>
          <w:tcPr>
            <w:tcW w:w="769" w:type="dxa"/>
            <w:tcBorders>
              <w:top w:val="nil"/>
              <w:left w:val="nil"/>
              <w:bottom w:val="single" w:color="auto" w:sz="4" w:space="0"/>
              <w:right w:val="single" w:color="auto" w:sz="4" w:space="0"/>
            </w:tcBorders>
          </w:tcPr>
          <w:p>
            <w:pPr>
              <w:widowControl/>
              <w:spacing w:line="280" w:lineRule="exact"/>
              <w:jc w:val="center"/>
              <w:rPr>
                <w:rFonts w:ascii="Times New Roman" w:hAnsi="Times New Roman"/>
                <w:kern w:val="0"/>
                <w:sz w:val="24"/>
                <w:szCs w:val="24"/>
                <w:highlight w:val="none"/>
              </w:rPr>
            </w:pPr>
            <w:r>
              <w:rPr>
                <w:rFonts w:hint="eastAsia" w:ascii="Times New Roman" w:hAnsi="Times New Roman"/>
                <w:kern w:val="0"/>
                <w:sz w:val="21"/>
                <w:szCs w:val="21"/>
                <w:highlight w:val="none"/>
                <w:lang w:val="en-US" w:eastAsia="zh-CN"/>
              </w:rPr>
              <w:t>2018年预算、决算报表数据</w:t>
            </w:r>
          </w:p>
        </w:tc>
      </w:tr>
      <w:tr>
        <w:tblPrEx>
          <w:tblLayout w:type="fixed"/>
          <w:tblCellMar>
            <w:top w:w="0" w:type="dxa"/>
            <w:left w:w="108" w:type="dxa"/>
            <w:bottom w:w="0" w:type="dxa"/>
            <w:right w:w="108" w:type="dxa"/>
          </w:tblCellMar>
        </w:tblPrEx>
        <w:trPr>
          <w:trHeight w:val="116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新建楼堂馆所面积控制率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ascii="Times New Roman" w:hAnsi="Times New Roman"/>
                <w:kern w:val="0"/>
                <w:sz w:val="20"/>
                <w:szCs w:val="20"/>
                <w:highlight w:val="none"/>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highlight w:val="none"/>
              </w:rPr>
            </w:pPr>
            <w:r>
              <w:rPr>
                <w:rFonts w:ascii="Times New Roman" w:hAnsi="Times New Roman"/>
                <w:kern w:val="0"/>
                <w:sz w:val="20"/>
                <w:szCs w:val="20"/>
                <w:highlight w:val="none"/>
              </w:rPr>
              <w:t>100%</w:t>
            </w:r>
            <w:r>
              <w:rPr>
                <w:rFonts w:hint="eastAsia" w:ascii="Times New Roman" w:hAnsi="Times New Roman"/>
                <w:kern w:val="0"/>
                <w:sz w:val="20"/>
                <w:szCs w:val="20"/>
                <w:highlight w:val="none"/>
              </w:rPr>
              <w:t>以下（含）计满分，每超出</w:t>
            </w:r>
            <w:r>
              <w:rPr>
                <w:rFonts w:ascii="Times New Roman" w:hAnsi="Times New Roman"/>
                <w:kern w:val="0"/>
                <w:sz w:val="20"/>
                <w:szCs w:val="20"/>
                <w:highlight w:val="none"/>
              </w:rPr>
              <w:t>5%</w:t>
            </w:r>
            <w:r>
              <w:rPr>
                <w:rFonts w:hint="eastAsia" w:ascii="Times New Roman" w:hAnsi="Times New Roman"/>
                <w:kern w:val="0"/>
                <w:sz w:val="20"/>
                <w:szCs w:val="20"/>
                <w:highlight w:val="none"/>
              </w:rPr>
              <w:t>扣</w:t>
            </w:r>
            <w:r>
              <w:rPr>
                <w:rFonts w:ascii="Times New Roman" w:hAnsi="Times New Roman"/>
                <w:kern w:val="0"/>
                <w:sz w:val="20"/>
                <w:szCs w:val="20"/>
                <w:highlight w:val="none"/>
              </w:rPr>
              <w:t>2</w:t>
            </w:r>
            <w:r>
              <w:rPr>
                <w:rFonts w:hint="eastAsia" w:ascii="Times New Roman" w:hAnsi="Times New Roman"/>
                <w:kern w:val="0"/>
                <w:sz w:val="20"/>
                <w:szCs w:val="20"/>
                <w:highlight w:val="none"/>
              </w:rPr>
              <w:t>分，扣完为止。没有楼梯馆所项目的部门按满分计算</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楼堂馆所面积控制率</w:t>
            </w:r>
            <w:r>
              <w:rPr>
                <w:rFonts w:ascii="Times New Roman" w:hAnsi="Times New Roman"/>
                <w:kern w:val="0"/>
                <w:sz w:val="20"/>
                <w:szCs w:val="20"/>
                <w:highlight w:val="none"/>
              </w:rPr>
              <w:t>=</w:t>
            </w:r>
            <w:r>
              <w:rPr>
                <w:rFonts w:hint="eastAsia" w:ascii="Times New Roman" w:hAnsi="Times New Roman"/>
                <w:kern w:val="0"/>
                <w:sz w:val="20"/>
                <w:szCs w:val="20"/>
                <w:highlight w:val="none"/>
              </w:rPr>
              <w:t>实际建设面积</w:t>
            </w:r>
            <w:r>
              <w:rPr>
                <w:rFonts w:ascii="Times New Roman" w:hAnsi="Times New Roman"/>
                <w:kern w:val="0"/>
                <w:sz w:val="20"/>
                <w:szCs w:val="20"/>
                <w:highlight w:val="none"/>
              </w:rPr>
              <w:t>/</w:t>
            </w:r>
            <w:r>
              <w:rPr>
                <w:rFonts w:hint="eastAsia" w:ascii="Times New Roman" w:hAnsi="Times New Roman"/>
                <w:kern w:val="0"/>
                <w:sz w:val="20"/>
                <w:szCs w:val="20"/>
                <w:highlight w:val="none"/>
              </w:rPr>
              <w:t>批准建设面积</w:t>
            </w:r>
            <w:r>
              <w:rPr>
                <w:rFonts w:ascii="Times New Roman" w:hAnsi="Times New Roman"/>
                <w:kern w:val="0"/>
                <w:sz w:val="20"/>
                <w:szCs w:val="20"/>
                <w:highlight w:val="none"/>
              </w:rPr>
              <w:t xml:space="preserve">×100% </w:t>
            </w:r>
            <w:r>
              <w:rPr>
                <w:rFonts w:hint="eastAsia" w:ascii="Times New Roman" w:hAnsi="Times New Roman"/>
                <w:kern w:val="0"/>
                <w:sz w:val="20"/>
                <w:szCs w:val="20"/>
                <w:highlight w:val="none"/>
              </w:rPr>
              <w:t>。</w:t>
            </w:r>
          </w:p>
          <w:p>
            <w:pPr>
              <w:widowControl/>
              <w:spacing w:line="30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该指标以</w:t>
            </w:r>
            <w:r>
              <w:rPr>
                <w:rFonts w:ascii="Times New Roman" w:hAnsi="Times New Roman"/>
                <w:kern w:val="0"/>
                <w:sz w:val="20"/>
                <w:szCs w:val="20"/>
                <w:highlight w:val="none"/>
              </w:rPr>
              <w:t>2014</w:t>
            </w:r>
            <w:r>
              <w:rPr>
                <w:rFonts w:hint="eastAsia" w:ascii="Times New Roman" w:hAnsi="Times New Roman"/>
                <w:kern w:val="0"/>
                <w:sz w:val="20"/>
                <w:szCs w:val="20"/>
                <w:highlight w:val="none"/>
              </w:rPr>
              <w:t>年完工的新建楼堂馆所为评价内容。</w:t>
            </w:r>
          </w:p>
        </w:tc>
        <w:tc>
          <w:tcPr>
            <w:tcW w:w="637" w:type="dxa"/>
            <w:tcBorders>
              <w:top w:val="nil"/>
              <w:left w:val="nil"/>
              <w:bottom w:val="single" w:color="auto" w:sz="4" w:space="0"/>
              <w:right w:val="single" w:color="auto" w:sz="4" w:space="0"/>
            </w:tcBorders>
            <w:vAlign w:val="center"/>
          </w:tcPr>
          <w:p>
            <w:pPr>
              <w:widowControl/>
              <w:spacing w:line="250" w:lineRule="exact"/>
              <w:jc w:val="center"/>
              <w:rPr>
                <w:rFonts w:hint="eastAsia" w:ascii="Times New Roman" w:hAnsi="Times New Roman" w:eastAsia="仿宋_GB2312"/>
                <w:kern w:val="0"/>
                <w:sz w:val="24"/>
                <w:szCs w:val="24"/>
                <w:highlight w:val="none"/>
                <w:lang w:eastAsia="zh-CN"/>
              </w:rPr>
            </w:pPr>
            <w:r>
              <w:rPr>
                <w:rFonts w:hint="eastAsia"/>
                <w:kern w:val="0"/>
                <w:sz w:val="20"/>
                <w:szCs w:val="20"/>
                <w:highlight w:val="none"/>
                <w:lang w:val="en-US" w:eastAsia="zh-CN"/>
              </w:rPr>
              <w:t>5</w:t>
            </w:r>
          </w:p>
        </w:tc>
        <w:tc>
          <w:tcPr>
            <w:tcW w:w="769" w:type="dxa"/>
            <w:tcBorders>
              <w:top w:val="nil"/>
              <w:left w:val="nil"/>
              <w:bottom w:val="single" w:color="auto" w:sz="4" w:space="0"/>
              <w:right w:val="single" w:color="auto" w:sz="4" w:space="0"/>
            </w:tcBorders>
          </w:tcPr>
          <w:p>
            <w:pPr>
              <w:widowControl/>
              <w:spacing w:line="280" w:lineRule="exact"/>
              <w:jc w:val="center"/>
              <w:rPr>
                <w:rFonts w:hint="eastAsia" w:ascii="Times New Roman" w:hAnsi="Times New Roman" w:eastAsia="仿宋_GB2312"/>
                <w:kern w:val="0"/>
                <w:sz w:val="21"/>
                <w:szCs w:val="21"/>
                <w:highlight w:val="none"/>
                <w:lang w:val="en-US" w:eastAsia="zh-CN"/>
              </w:rPr>
            </w:pPr>
            <w:r>
              <w:rPr>
                <w:rFonts w:hint="eastAsia" w:ascii="Times New Roman" w:hAnsi="Times New Roman"/>
                <w:kern w:val="0"/>
                <w:sz w:val="21"/>
                <w:szCs w:val="21"/>
                <w:highlight w:val="none"/>
                <w:lang w:val="en-US" w:eastAsia="zh-CN"/>
              </w:rPr>
              <w:t>2018年无楼堂管所建设项目</w:t>
            </w:r>
          </w:p>
        </w:tc>
      </w:tr>
      <w:tr>
        <w:tblPrEx>
          <w:tblLayout w:type="fixed"/>
          <w:tblCellMar>
            <w:top w:w="0" w:type="dxa"/>
            <w:left w:w="108" w:type="dxa"/>
            <w:bottom w:w="0" w:type="dxa"/>
            <w:right w:w="108" w:type="dxa"/>
          </w:tblCellMar>
        </w:tblPrEx>
        <w:trPr>
          <w:trHeight w:val="122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新建楼堂馆所投资概算控制率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ascii="Times New Roman" w:hAnsi="Times New Roman"/>
                <w:kern w:val="0"/>
                <w:sz w:val="20"/>
                <w:szCs w:val="20"/>
                <w:highlight w:val="none"/>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highlight w:val="none"/>
              </w:rPr>
            </w:pPr>
            <w:r>
              <w:rPr>
                <w:rFonts w:ascii="Times New Roman" w:hAnsi="Times New Roman"/>
                <w:kern w:val="0"/>
                <w:sz w:val="20"/>
                <w:szCs w:val="20"/>
                <w:highlight w:val="none"/>
              </w:rPr>
              <w:t>100%</w:t>
            </w:r>
            <w:r>
              <w:rPr>
                <w:rFonts w:hint="eastAsia" w:ascii="Times New Roman" w:hAnsi="Times New Roman"/>
                <w:kern w:val="0"/>
                <w:sz w:val="20"/>
                <w:szCs w:val="20"/>
                <w:highlight w:val="none"/>
              </w:rPr>
              <w:t>以下（含）计满分，每超出</w:t>
            </w:r>
            <w:r>
              <w:rPr>
                <w:rFonts w:ascii="Times New Roman" w:hAnsi="Times New Roman"/>
                <w:kern w:val="0"/>
                <w:sz w:val="20"/>
                <w:szCs w:val="20"/>
                <w:highlight w:val="none"/>
              </w:rPr>
              <w:t>5%</w:t>
            </w:r>
            <w:r>
              <w:rPr>
                <w:rFonts w:hint="eastAsia" w:ascii="Times New Roman" w:hAnsi="Times New Roman"/>
                <w:kern w:val="0"/>
                <w:sz w:val="20"/>
                <w:szCs w:val="20"/>
                <w:highlight w:val="none"/>
              </w:rPr>
              <w:t>扣</w:t>
            </w:r>
            <w:r>
              <w:rPr>
                <w:rFonts w:ascii="Times New Roman" w:hAnsi="Times New Roman"/>
                <w:kern w:val="0"/>
                <w:sz w:val="20"/>
                <w:szCs w:val="20"/>
                <w:highlight w:val="none"/>
              </w:rPr>
              <w:t>2</w:t>
            </w:r>
            <w:r>
              <w:rPr>
                <w:rFonts w:hint="eastAsia" w:ascii="Times New Roman" w:hAnsi="Times New Roman"/>
                <w:kern w:val="0"/>
                <w:sz w:val="20"/>
                <w:szCs w:val="20"/>
                <w:highlight w:val="none"/>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楼堂馆所投资预算控制率</w:t>
            </w:r>
            <w:r>
              <w:rPr>
                <w:rFonts w:ascii="Times New Roman" w:hAnsi="Times New Roman"/>
                <w:kern w:val="0"/>
                <w:sz w:val="20"/>
                <w:szCs w:val="20"/>
                <w:highlight w:val="none"/>
              </w:rPr>
              <w:t>=</w:t>
            </w:r>
            <w:r>
              <w:rPr>
                <w:rFonts w:hint="eastAsia" w:ascii="Times New Roman" w:hAnsi="Times New Roman"/>
                <w:kern w:val="0"/>
                <w:sz w:val="20"/>
                <w:szCs w:val="20"/>
                <w:highlight w:val="none"/>
              </w:rPr>
              <w:t>实际投资金额</w:t>
            </w:r>
            <w:r>
              <w:rPr>
                <w:rFonts w:ascii="Times New Roman" w:hAnsi="Times New Roman"/>
                <w:kern w:val="0"/>
                <w:sz w:val="20"/>
                <w:szCs w:val="20"/>
                <w:highlight w:val="none"/>
              </w:rPr>
              <w:t>/</w:t>
            </w:r>
            <w:r>
              <w:rPr>
                <w:rFonts w:hint="eastAsia" w:ascii="Times New Roman" w:hAnsi="Times New Roman"/>
                <w:kern w:val="0"/>
                <w:sz w:val="20"/>
                <w:szCs w:val="20"/>
                <w:highlight w:val="none"/>
              </w:rPr>
              <w:t>批准投资金额</w:t>
            </w:r>
            <w:r>
              <w:rPr>
                <w:rFonts w:ascii="Times New Roman" w:hAnsi="Times New Roman"/>
                <w:kern w:val="0"/>
                <w:sz w:val="20"/>
                <w:szCs w:val="20"/>
                <w:highlight w:val="none"/>
              </w:rPr>
              <w:t xml:space="preserve">×100% </w:t>
            </w:r>
            <w:r>
              <w:rPr>
                <w:rFonts w:hint="eastAsia" w:ascii="Times New Roman" w:hAnsi="Times New Roman"/>
                <w:kern w:val="0"/>
                <w:sz w:val="20"/>
                <w:szCs w:val="20"/>
                <w:highlight w:val="none"/>
              </w:rPr>
              <w:t>。</w:t>
            </w:r>
          </w:p>
          <w:p>
            <w:pPr>
              <w:widowControl/>
              <w:spacing w:line="30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该指标以</w:t>
            </w:r>
            <w:r>
              <w:rPr>
                <w:rFonts w:ascii="Times New Roman" w:hAnsi="Times New Roman"/>
                <w:kern w:val="0"/>
                <w:sz w:val="20"/>
                <w:szCs w:val="20"/>
                <w:highlight w:val="none"/>
              </w:rPr>
              <w:t>2014</w:t>
            </w:r>
            <w:r>
              <w:rPr>
                <w:rFonts w:hint="eastAsia" w:ascii="Times New Roman" w:hAnsi="Times New Roman"/>
                <w:kern w:val="0"/>
                <w:sz w:val="20"/>
                <w:szCs w:val="20"/>
                <w:highlight w:val="none"/>
              </w:rPr>
              <w:t>年完工的新建楼堂馆所为评价内容。</w:t>
            </w:r>
          </w:p>
        </w:tc>
        <w:tc>
          <w:tcPr>
            <w:tcW w:w="637" w:type="dxa"/>
            <w:tcBorders>
              <w:top w:val="nil"/>
              <w:left w:val="nil"/>
              <w:bottom w:val="single" w:color="auto" w:sz="4" w:space="0"/>
              <w:right w:val="single" w:color="auto" w:sz="4" w:space="0"/>
            </w:tcBorders>
            <w:vAlign w:val="center"/>
          </w:tcPr>
          <w:p>
            <w:pPr>
              <w:widowControl/>
              <w:spacing w:line="250" w:lineRule="exact"/>
              <w:jc w:val="center"/>
              <w:rPr>
                <w:rFonts w:hint="eastAsia" w:ascii="Times New Roman" w:hAnsi="Times New Roman" w:eastAsia="仿宋_GB2312"/>
                <w:kern w:val="0"/>
                <w:sz w:val="24"/>
                <w:szCs w:val="24"/>
                <w:highlight w:val="none"/>
                <w:lang w:eastAsia="zh-CN"/>
              </w:rPr>
            </w:pPr>
            <w:r>
              <w:rPr>
                <w:rFonts w:hint="eastAsia"/>
                <w:kern w:val="0"/>
                <w:sz w:val="20"/>
                <w:szCs w:val="20"/>
                <w:highlight w:val="none"/>
                <w:lang w:val="en-US" w:eastAsia="zh-CN"/>
              </w:rPr>
              <w:t>5</w:t>
            </w:r>
          </w:p>
        </w:tc>
        <w:tc>
          <w:tcPr>
            <w:tcW w:w="769" w:type="dxa"/>
            <w:tcBorders>
              <w:top w:val="nil"/>
              <w:left w:val="nil"/>
              <w:bottom w:val="single" w:color="auto" w:sz="4" w:space="0"/>
              <w:right w:val="single" w:color="auto" w:sz="4" w:space="0"/>
            </w:tcBorders>
          </w:tcPr>
          <w:p>
            <w:pPr>
              <w:widowControl/>
              <w:spacing w:line="280" w:lineRule="exact"/>
              <w:jc w:val="center"/>
              <w:rPr>
                <w:rFonts w:hint="eastAsia" w:ascii="Times New Roman" w:hAnsi="Times New Roman" w:eastAsia="仿宋_GB2312"/>
                <w:kern w:val="0"/>
                <w:sz w:val="21"/>
                <w:szCs w:val="21"/>
                <w:highlight w:val="none"/>
                <w:lang w:eastAsia="zh-CN"/>
              </w:rPr>
            </w:pPr>
            <w:r>
              <w:rPr>
                <w:rFonts w:hint="eastAsia" w:ascii="Times New Roman" w:hAnsi="Times New Roman"/>
                <w:kern w:val="0"/>
                <w:sz w:val="21"/>
                <w:szCs w:val="21"/>
                <w:highlight w:val="none"/>
                <w:lang w:eastAsia="zh-CN"/>
              </w:rPr>
              <w:t>计算无超标</w:t>
            </w:r>
          </w:p>
        </w:tc>
      </w:tr>
      <w:tr>
        <w:tblPrEx>
          <w:tblLayout w:type="fixed"/>
          <w:tblCellMar>
            <w:top w:w="0" w:type="dxa"/>
            <w:left w:w="108" w:type="dxa"/>
            <w:bottom w:w="0" w:type="dxa"/>
            <w:right w:w="108" w:type="dxa"/>
          </w:tblCellMar>
        </w:tblPrEx>
        <w:trPr>
          <w:trHeight w:val="1448"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预算管理</w:t>
            </w:r>
          </w:p>
        </w:tc>
        <w:tc>
          <w:tcPr>
            <w:tcW w:w="416" w:type="dxa"/>
            <w:vMerge w:val="restart"/>
            <w:tcBorders>
              <w:top w:val="nil"/>
              <w:left w:val="single" w:color="auto"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ascii="Times New Roman" w:hAnsi="Times New Roman"/>
                <w:kern w:val="0"/>
                <w:sz w:val="20"/>
                <w:szCs w:val="20"/>
                <w:highlight w:val="none"/>
              </w:rPr>
              <w:t>41</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公用经费控制率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ascii="Times New Roman" w:hAnsi="Times New Roman"/>
                <w:kern w:val="0"/>
                <w:sz w:val="20"/>
                <w:szCs w:val="20"/>
                <w:highlight w:val="none"/>
              </w:rPr>
              <w:t>8</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highlight w:val="none"/>
              </w:rPr>
            </w:pPr>
            <w:r>
              <w:rPr>
                <w:rFonts w:ascii="Times New Roman" w:hAnsi="Times New Roman"/>
                <w:kern w:val="0"/>
                <w:sz w:val="20"/>
                <w:szCs w:val="20"/>
                <w:highlight w:val="none"/>
              </w:rPr>
              <w:t>100%</w:t>
            </w:r>
            <w:r>
              <w:rPr>
                <w:rFonts w:hint="eastAsia" w:ascii="Times New Roman" w:hAnsi="Times New Roman"/>
                <w:kern w:val="0"/>
                <w:sz w:val="20"/>
                <w:szCs w:val="20"/>
                <w:highlight w:val="none"/>
              </w:rPr>
              <w:t>以下（含）计满分，每超出</w:t>
            </w:r>
            <w:r>
              <w:rPr>
                <w:rFonts w:ascii="Times New Roman" w:hAnsi="Times New Roman"/>
                <w:kern w:val="0"/>
                <w:sz w:val="20"/>
                <w:szCs w:val="20"/>
                <w:highlight w:val="none"/>
              </w:rPr>
              <w:t>1%</w:t>
            </w:r>
            <w:r>
              <w:rPr>
                <w:rFonts w:hint="eastAsia" w:ascii="Times New Roman" w:hAnsi="Times New Roman"/>
                <w:kern w:val="0"/>
                <w:sz w:val="20"/>
                <w:szCs w:val="20"/>
                <w:highlight w:val="none"/>
              </w:rPr>
              <w:t>扣</w:t>
            </w:r>
            <w:r>
              <w:rPr>
                <w:rFonts w:ascii="Times New Roman" w:hAnsi="Times New Roman"/>
                <w:kern w:val="0"/>
                <w:sz w:val="20"/>
                <w:szCs w:val="20"/>
                <w:highlight w:val="none"/>
              </w:rPr>
              <w:t>1</w:t>
            </w:r>
            <w:r>
              <w:rPr>
                <w:rFonts w:hint="eastAsia" w:ascii="Times New Roman" w:hAnsi="Times New Roman"/>
                <w:kern w:val="0"/>
                <w:sz w:val="20"/>
                <w:szCs w:val="20"/>
                <w:highlight w:val="none"/>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公用经费控制率</w:t>
            </w:r>
            <w:r>
              <w:rPr>
                <w:rFonts w:ascii="Times New Roman" w:hAnsi="Times New Roman"/>
                <w:kern w:val="0"/>
                <w:sz w:val="20"/>
                <w:szCs w:val="20"/>
                <w:highlight w:val="none"/>
              </w:rPr>
              <w:t>=</w:t>
            </w:r>
            <w:r>
              <w:rPr>
                <w:rFonts w:hint="eastAsia" w:ascii="Times New Roman" w:hAnsi="Times New Roman"/>
                <w:kern w:val="0"/>
                <w:sz w:val="20"/>
                <w:szCs w:val="20"/>
                <w:highlight w:val="none"/>
              </w:rPr>
              <w:t>（实际支出公用经费总额</w:t>
            </w:r>
            <w:r>
              <w:rPr>
                <w:rFonts w:ascii="Times New Roman" w:hAnsi="Times New Roman"/>
                <w:kern w:val="0"/>
                <w:sz w:val="20"/>
                <w:szCs w:val="20"/>
                <w:highlight w:val="none"/>
              </w:rPr>
              <w:t>/</w:t>
            </w:r>
            <w:r>
              <w:rPr>
                <w:rFonts w:hint="eastAsia" w:ascii="Times New Roman" w:hAnsi="Times New Roman"/>
                <w:kern w:val="0"/>
                <w:sz w:val="20"/>
                <w:szCs w:val="20"/>
                <w:highlight w:val="none"/>
              </w:rPr>
              <w:t>预算安排公用经费总额）</w:t>
            </w:r>
            <w:r>
              <w:rPr>
                <w:rFonts w:ascii="Times New Roman" w:hAnsi="Times New Roman"/>
                <w:kern w:val="0"/>
                <w:sz w:val="20"/>
                <w:szCs w:val="20"/>
                <w:highlight w:val="none"/>
              </w:rPr>
              <w:t>×100%</w:t>
            </w:r>
            <w:r>
              <w:rPr>
                <w:rFonts w:hint="eastAsia" w:ascii="Times New Roman" w:hAnsi="Times New Roman"/>
                <w:kern w:val="0"/>
                <w:sz w:val="20"/>
                <w:szCs w:val="20"/>
                <w:highlight w:val="none"/>
              </w:rPr>
              <w:t>。</w:t>
            </w:r>
          </w:p>
          <w:p>
            <w:pPr>
              <w:widowControl/>
              <w:spacing w:line="30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公用经费支出是指部门基本支出中的一般商品和服务支出。</w:t>
            </w:r>
          </w:p>
        </w:tc>
        <w:tc>
          <w:tcPr>
            <w:tcW w:w="637" w:type="dxa"/>
            <w:tcBorders>
              <w:top w:val="nil"/>
              <w:left w:val="nil"/>
              <w:bottom w:val="single" w:color="auto" w:sz="4" w:space="0"/>
              <w:right w:val="single" w:color="auto" w:sz="4" w:space="0"/>
            </w:tcBorders>
            <w:vAlign w:val="center"/>
          </w:tcPr>
          <w:p>
            <w:pPr>
              <w:widowControl/>
              <w:spacing w:line="250" w:lineRule="exact"/>
              <w:jc w:val="center"/>
              <w:rPr>
                <w:rFonts w:hint="eastAsia" w:ascii="Times New Roman" w:hAnsi="Times New Roman" w:eastAsia="仿宋_GB2312"/>
                <w:kern w:val="0"/>
                <w:sz w:val="24"/>
                <w:szCs w:val="24"/>
                <w:highlight w:val="none"/>
                <w:lang w:eastAsia="zh-CN"/>
              </w:rPr>
            </w:pPr>
            <w:r>
              <w:rPr>
                <w:rFonts w:hint="eastAsia"/>
                <w:kern w:val="0"/>
                <w:sz w:val="20"/>
                <w:szCs w:val="20"/>
                <w:highlight w:val="none"/>
                <w:lang w:val="en-US" w:eastAsia="zh-CN"/>
              </w:rPr>
              <w:t>6</w:t>
            </w:r>
          </w:p>
        </w:tc>
        <w:tc>
          <w:tcPr>
            <w:tcW w:w="769" w:type="dxa"/>
            <w:tcBorders>
              <w:top w:val="nil"/>
              <w:left w:val="nil"/>
              <w:bottom w:val="single" w:color="auto" w:sz="4" w:space="0"/>
              <w:right w:val="single" w:color="auto" w:sz="4" w:space="0"/>
            </w:tcBorders>
          </w:tcPr>
          <w:p>
            <w:pPr>
              <w:widowControl/>
              <w:spacing w:line="280" w:lineRule="exact"/>
              <w:jc w:val="center"/>
              <w:rPr>
                <w:rFonts w:ascii="Times New Roman" w:hAnsi="Times New Roman"/>
                <w:kern w:val="0"/>
                <w:sz w:val="24"/>
                <w:szCs w:val="24"/>
                <w:highlight w:val="none"/>
              </w:rPr>
            </w:pPr>
            <w:r>
              <w:rPr>
                <w:rFonts w:hint="eastAsia" w:ascii="Times New Roman" w:hAnsi="Times New Roman"/>
                <w:kern w:val="0"/>
                <w:sz w:val="21"/>
                <w:szCs w:val="21"/>
                <w:highlight w:val="none"/>
                <w:lang w:val="en-US" w:eastAsia="zh-CN"/>
              </w:rPr>
              <w:t>2018年决算报表数据</w:t>
            </w:r>
          </w:p>
        </w:tc>
      </w:tr>
      <w:tr>
        <w:tblPrEx>
          <w:tblLayout w:type="fixed"/>
          <w:tblCellMar>
            <w:top w:w="0" w:type="dxa"/>
            <w:left w:w="108" w:type="dxa"/>
            <w:bottom w:w="0" w:type="dxa"/>
            <w:right w:w="108" w:type="dxa"/>
          </w:tblCellMar>
        </w:tblPrEx>
        <w:trPr>
          <w:trHeight w:val="74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416" w:type="dxa"/>
            <w:vMerge w:val="continue"/>
            <w:tcBorders>
              <w:left w:val="single" w:color="auto"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三公经费控制率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ascii="Times New Roman" w:hAnsi="Times New Roman"/>
                <w:kern w:val="0"/>
                <w:sz w:val="20"/>
                <w:szCs w:val="20"/>
                <w:highlight w:val="none"/>
              </w:rPr>
              <w:t>8</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highlight w:val="none"/>
              </w:rPr>
            </w:pPr>
            <w:r>
              <w:rPr>
                <w:rFonts w:ascii="Times New Roman" w:hAnsi="Times New Roman"/>
                <w:kern w:val="0"/>
                <w:sz w:val="20"/>
                <w:szCs w:val="20"/>
                <w:highlight w:val="none"/>
              </w:rPr>
              <w:t>100%</w:t>
            </w:r>
            <w:r>
              <w:rPr>
                <w:rFonts w:hint="eastAsia" w:ascii="Times New Roman" w:hAnsi="Times New Roman"/>
                <w:kern w:val="0"/>
                <w:sz w:val="20"/>
                <w:szCs w:val="20"/>
                <w:highlight w:val="none"/>
              </w:rPr>
              <w:t>以下（含）计满分，每超出</w:t>
            </w:r>
            <w:r>
              <w:rPr>
                <w:rFonts w:ascii="Times New Roman" w:hAnsi="Times New Roman"/>
                <w:kern w:val="0"/>
                <w:sz w:val="20"/>
                <w:szCs w:val="20"/>
                <w:highlight w:val="none"/>
              </w:rPr>
              <w:t>1%</w:t>
            </w:r>
            <w:r>
              <w:rPr>
                <w:rFonts w:hint="eastAsia" w:ascii="Times New Roman" w:hAnsi="Times New Roman"/>
                <w:kern w:val="0"/>
                <w:sz w:val="20"/>
                <w:szCs w:val="20"/>
                <w:highlight w:val="none"/>
              </w:rPr>
              <w:t>扣</w:t>
            </w:r>
            <w:r>
              <w:rPr>
                <w:rFonts w:ascii="Times New Roman" w:hAnsi="Times New Roman"/>
                <w:kern w:val="0"/>
                <w:sz w:val="20"/>
                <w:szCs w:val="20"/>
                <w:highlight w:val="none"/>
              </w:rPr>
              <w:t>1</w:t>
            </w:r>
            <w:r>
              <w:rPr>
                <w:rFonts w:hint="eastAsia" w:ascii="Times New Roman" w:hAnsi="Times New Roman"/>
                <w:kern w:val="0"/>
                <w:sz w:val="20"/>
                <w:szCs w:val="20"/>
                <w:highlight w:val="none"/>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highlight w:val="none"/>
              </w:rPr>
            </w:pPr>
            <w:r>
              <w:rPr>
                <w:rFonts w:ascii="Times New Roman" w:hAnsi="Times New Roman"/>
                <w:kern w:val="0"/>
                <w:sz w:val="20"/>
                <w:szCs w:val="20"/>
                <w:highlight w:val="none"/>
              </w:rPr>
              <w:t>“</w:t>
            </w:r>
            <w:r>
              <w:rPr>
                <w:rFonts w:hint="eastAsia" w:ascii="Times New Roman" w:hAnsi="Times New Roman"/>
                <w:kern w:val="0"/>
                <w:sz w:val="20"/>
                <w:szCs w:val="20"/>
                <w:highlight w:val="none"/>
              </w:rPr>
              <w:t>三公经费</w:t>
            </w:r>
            <w:r>
              <w:rPr>
                <w:rFonts w:ascii="Times New Roman" w:hAnsi="Times New Roman"/>
                <w:kern w:val="0"/>
                <w:sz w:val="20"/>
                <w:szCs w:val="20"/>
                <w:highlight w:val="none"/>
              </w:rPr>
              <w:t>”</w:t>
            </w:r>
            <w:r>
              <w:rPr>
                <w:rFonts w:hint="eastAsia" w:ascii="Times New Roman" w:hAnsi="Times New Roman"/>
                <w:kern w:val="0"/>
                <w:sz w:val="20"/>
                <w:szCs w:val="20"/>
                <w:highlight w:val="none"/>
              </w:rPr>
              <w:t>控制率</w:t>
            </w:r>
            <w:r>
              <w:rPr>
                <w:rFonts w:ascii="Times New Roman" w:hAnsi="Times New Roman"/>
                <w:kern w:val="0"/>
                <w:sz w:val="20"/>
                <w:szCs w:val="20"/>
                <w:highlight w:val="none"/>
              </w:rPr>
              <w:t>-</w:t>
            </w:r>
            <w:r>
              <w:rPr>
                <w:rFonts w:hint="eastAsia" w:ascii="Times New Roman" w:hAnsi="Times New Roman"/>
                <w:kern w:val="0"/>
                <w:sz w:val="20"/>
                <w:szCs w:val="20"/>
                <w:highlight w:val="none"/>
              </w:rPr>
              <w:t>（</w:t>
            </w:r>
            <w:r>
              <w:rPr>
                <w:rFonts w:ascii="Times New Roman" w:hAnsi="Times New Roman"/>
                <w:kern w:val="0"/>
                <w:sz w:val="20"/>
                <w:szCs w:val="20"/>
                <w:highlight w:val="none"/>
              </w:rPr>
              <w:t>“</w:t>
            </w:r>
            <w:r>
              <w:rPr>
                <w:rFonts w:hint="eastAsia" w:ascii="Times New Roman" w:hAnsi="Times New Roman"/>
                <w:kern w:val="0"/>
                <w:sz w:val="20"/>
                <w:szCs w:val="20"/>
                <w:highlight w:val="none"/>
              </w:rPr>
              <w:t>三公经费</w:t>
            </w:r>
            <w:r>
              <w:rPr>
                <w:rFonts w:ascii="Times New Roman" w:hAnsi="Times New Roman"/>
                <w:kern w:val="0"/>
                <w:sz w:val="20"/>
                <w:szCs w:val="20"/>
                <w:highlight w:val="none"/>
              </w:rPr>
              <w:t>”</w:t>
            </w:r>
            <w:r>
              <w:rPr>
                <w:rFonts w:hint="eastAsia" w:ascii="Times New Roman" w:hAnsi="Times New Roman"/>
                <w:kern w:val="0"/>
                <w:sz w:val="20"/>
                <w:szCs w:val="20"/>
                <w:highlight w:val="none"/>
              </w:rPr>
              <w:t>实际支出数</w:t>
            </w:r>
            <w:r>
              <w:rPr>
                <w:rFonts w:ascii="Times New Roman" w:hAnsi="Times New Roman"/>
                <w:kern w:val="0"/>
                <w:sz w:val="20"/>
                <w:szCs w:val="20"/>
                <w:highlight w:val="none"/>
              </w:rPr>
              <w:t>/“</w:t>
            </w:r>
            <w:r>
              <w:rPr>
                <w:rFonts w:hint="eastAsia" w:ascii="Times New Roman" w:hAnsi="Times New Roman"/>
                <w:kern w:val="0"/>
                <w:sz w:val="20"/>
                <w:szCs w:val="20"/>
                <w:highlight w:val="none"/>
              </w:rPr>
              <w:t>三公经费</w:t>
            </w:r>
            <w:r>
              <w:rPr>
                <w:rFonts w:ascii="Times New Roman" w:hAnsi="Times New Roman"/>
                <w:kern w:val="0"/>
                <w:sz w:val="20"/>
                <w:szCs w:val="20"/>
                <w:highlight w:val="none"/>
              </w:rPr>
              <w:t>”</w:t>
            </w:r>
            <w:r>
              <w:rPr>
                <w:rFonts w:hint="eastAsia" w:ascii="Times New Roman" w:hAnsi="Times New Roman"/>
                <w:kern w:val="0"/>
                <w:sz w:val="20"/>
                <w:szCs w:val="20"/>
                <w:highlight w:val="none"/>
              </w:rPr>
              <w:t>预算安排数）</w:t>
            </w:r>
            <w:r>
              <w:rPr>
                <w:rFonts w:ascii="Times New Roman" w:hAnsi="Times New Roman"/>
                <w:kern w:val="0"/>
                <w:sz w:val="20"/>
                <w:szCs w:val="20"/>
                <w:highlight w:val="none"/>
              </w:rPr>
              <w:t>×100%</w:t>
            </w:r>
            <w:r>
              <w:rPr>
                <w:rFonts w:hint="eastAsia" w:ascii="Times New Roman" w:hAnsi="Times New Roman"/>
                <w:kern w:val="0"/>
                <w:sz w:val="20"/>
                <w:szCs w:val="20"/>
                <w:highlight w:val="none"/>
              </w:rPr>
              <w:t>。</w:t>
            </w:r>
          </w:p>
        </w:tc>
        <w:tc>
          <w:tcPr>
            <w:tcW w:w="637" w:type="dxa"/>
            <w:tcBorders>
              <w:top w:val="nil"/>
              <w:left w:val="nil"/>
              <w:bottom w:val="single" w:color="auto" w:sz="4" w:space="0"/>
              <w:right w:val="single" w:color="auto" w:sz="4" w:space="0"/>
            </w:tcBorders>
            <w:vAlign w:val="center"/>
          </w:tcPr>
          <w:p>
            <w:pPr>
              <w:widowControl/>
              <w:spacing w:line="250" w:lineRule="exact"/>
              <w:jc w:val="center"/>
              <w:rPr>
                <w:rFonts w:hint="eastAsia" w:ascii="Times New Roman" w:hAnsi="Times New Roman" w:eastAsia="仿宋_GB2312"/>
                <w:kern w:val="0"/>
                <w:sz w:val="24"/>
                <w:szCs w:val="24"/>
                <w:highlight w:val="none"/>
                <w:lang w:eastAsia="zh-CN"/>
              </w:rPr>
            </w:pPr>
            <w:r>
              <w:rPr>
                <w:rFonts w:hint="eastAsia"/>
                <w:kern w:val="0"/>
                <w:sz w:val="20"/>
                <w:szCs w:val="20"/>
                <w:highlight w:val="none"/>
                <w:lang w:val="en-US" w:eastAsia="zh-CN"/>
              </w:rPr>
              <w:t>8</w:t>
            </w:r>
          </w:p>
        </w:tc>
        <w:tc>
          <w:tcPr>
            <w:tcW w:w="769" w:type="dxa"/>
            <w:tcBorders>
              <w:top w:val="nil"/>
              <w:left w:val="nil"/>
              <w:bottom w:val="single" w:color="auto" w:sz="4" w:space="0"/>
              <w:right w:val="single" w:color="auto" w:sz="4" w:space="0"/>
            </w:tcBorders>
          </w:tcPr>
          <w:p>
            <w:pPr>
              <w:widowControl/>
              <w:spacing w:line="280" w:lineRule="exact"/>
              <w:jc w:val="center"/>
              <w:rPr>
                <w:rFonts w:ascii="Times New Roman" w:hAnsi="Times New Roman"/>
                <w:kern w:val="0"/>
                <w:sz w:val="24"/>
                <w:szCs w:val="24"/>
                <w:highlight w:val="none"/>
              </w:rPr>
            </w:pPr>
            <w:r>
              <w:rPr>
                <w:rFonts w:hint="eastAsia" w:ascii="Times New Roman" w:hAnsi="Times New Roman"/>
                <w:kern w:val="0"/>
                <w:sz w:val="21"/>
                <w:szCs w:val="21"/>
                <w:highlight w:val="none"/>
                <w:lang w:val="en-US" w:eastAsia="zh-CN"/>
              </w:rPr>
              <w:t>2018年决算报表数据</w:t>
            </w:r>
          </w:p>
        </w:tc>
      </w:tr>
      <w:tr>
        <w:tblPrEx>
          <w:tblLayout w:type="fixed"/>
          <w:tblCellMar>
            <w:top w:w="0" w:type="dxa"/>
            <w:left w:w="108" w:type="dxa"/>
            <w:bottom w:w="0" w:type="dxa"/>
            <w:right w:w="108" w:type="dxa"/>
          </w:tblCellMar>
        </w:tblPrEx>
        <w:trPr>
          <w:trHeight w:val="1020" w:hRule="atLeast"/>
          <w:jc w:val="center"/>
        </w:trPr>
        <w:tc>
          <w:tcPr>
            <w:tcW w:w="64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416"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673"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416"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highlight w:val="none"/>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政府采购执行率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highlight w:val="none"/>
              </w:rPr>
            </w:pPr>
            <w:r>
              <w:rPr>
                <w:rFonts w:ascii="Times New Roman" w:hAnsi="Times New Roman"/>
                <w:kern w:val="0"/>
                <w:sz w:val="20"/>
                <w:szCs w:val="20"/>
                <w:highlight w:val="none"/>
              </w:rPr>
              <w:t>6</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highlight w:val="none"/>
              </w:rPr>
            </w:pPr>
            <w:r>
              <w:rPr>
                <w:rFonts w:ascii="Times New Roman" w:hAnsi="Times New Roman"/>
                <w:kern w:val="0"/>
                <w:sz w:val="20"/>
                <w:szCs w:val="20"/>
                <w:highlight w:val="none"/>
              </w:rPr>
              <w:t>100%</w:t>
            </w:r>
            <w:r>
              <w:rPr>
                <w:rFonts w:hint="eastAsia" w:ascii="Times New Roman" w:hAnsi="Times New Roman"/>
                <w:kern w:val="0"/>
                <w:sz w:val="20"/>
                <w:szCs w:val="20"/>
                <w:highlight w:val="none"/>
              </w:rPr>
              <w:t>计满分，每超过（降低）</w:t>
            </w:r>
            <w:r>
              <w:rPr>
                <w:rFonts w:ascii="Times New Roman" w:hAnsi="Times New Roman"/>
                <w:kern w:val="0"/>
                <w:sz w:val="20"/>
                <w:szCs w:val="20"/>
                <w:highlight w:val="none"/>
              </w:rPr>
              <w:t>5%</w:t>
            </w:r>
            <w:r>
              <w:rPr>
                <w:rFonts w:hint="eastAsia" w:ascii="Times New Roman" w:hAnsi="Times New Roman"/>
                <w:kern w:val="0"/>
                <w:sz w:val="20"/>
                <w:szCs w:val="20"/>
                <w:highlight w:val="none"/>
              </w:rPr>
              <w:t>扣</w:t>
            </w:r>
            <w:r>
              <w:rPr>
                <w:rFonts w:ascii="Times New Roman" w:hAnsi="Times New Roman"/>
                <w:kern w:val="0"/>
                <w:sz w:val="20"/>
                <w:szCs w:val="20"/>
                <w:highlight w:val="none"/>
              </w:rPr>
              <w:t>2</w:t>
            </w:r>
            <w:r>
              <w:rPr>
                <w:rFonts w:hint="eastAsia" w:ascii="Times New Roman" w:hAnsi="Times New Roman"/>
                <w:kern w:val="0"/>
                <w:sz w:val="20"/>
                <w:szCs w:val="20"/>
                <w:highlight w:val="none"/>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政府采购执行率</w:t>
            </w:r>
            <w:r>
              <w:rPr>
                <w:rFonts w:ascii="Times New Roman" w:hAnsi="Times New Roman"/>
                <w:kern w:val="0"/>
                <w:sz w:val="20"/>
                <w:szCs w:val="20"/>
                <w:highlight w:val="none"/>
              </w:rPr>
              <w:t>=</w:t>
            </w:r>
            <w:r>
              <w:rPr>
                <w:rFonts w:hint="eastAsia" w:ascii="Times New Roman" w:hAnsi="Times New Roman"/>
                <w:kern w:val="0"/>
                <w:sz w:val="20"/>
                <w:szCs w:val="20"/>
                <w:highlight w:val="none"/>
              </w:rPr>
              <w:t>（实际政府采购金额</w:t>
            </w:r>
            <w:r>
              <w:rPr>
                <w:rFonts w:ascii="Times New Roman" w:hAnsi="Times New Roman"/>
                <w:kern w:val="0"/>
                <w:sz w:val="20"/>
                <w:szCs w:val="20"/>
                <w:highlight w:val="none"/>
              </w:rPr>
              <w:t>/</w:t>
            </w:r>
            <w:r>
              <w:rPr>
                <w:rFonts w:hint="eastAsia" w:ascii="Times New Roman" w:hAnsi="Times New Roman"/>
                <w:kern w:val="0"/>
                <w:sz w:val="20"/>
                <w:szCs w:val="20"/>
                <w:highlight w:val="none"/>
              </w:rPr>
              <w:t>政府采购预算数）</w:t>
            </w:r>
            <w:r>
              <w:rPr>
                <w:rFonts w:ascii="Times New Roman" w:hAnsi="Times New Roman"/>
                <w:kern w:val="0"/>
                <w:sz w:val="20"/>
                <w:szCs w:val="20"/>
                <w:highlight w:val="none"/>
              </w:rPr>
              <w:t xml:space="preserve">×100%                </w:t>
            </w:r>
          </w:p>
        </w:tc>
        <w:tc>
          <w:tcPr>
            <w:tcW w:w="637" w:type="dxa"/>
            <w:tcBorders>
              <w:top w:val="nil"/>
              <w:left w:val="nil"/>
              <w:bottom w:val="single" w:color="auto" w:sz="4" w:space="0"/>
              <w:right w:val="single" w:color="auto" w:sz="4" w:space="0"/>
            </w:tcBorders>
            <w:vAlign w:val="center"/>
          </w:tcPr>
          <w:p>
            <w:pPr>
              <w:widowControl/>
              <w:spacing w:line="230" w:lineRule="exact"/>
              <w:jc w:val="center"/>
              <w:rPr>
                <w:rFonts w:hint="eastAsia" w:ascii="Times New Roman" w:hAnsi="Times New Roman" w:eastAsia="仿宋_GB2312"/>
                <w:kern w:val="0"/>
                <w:sz w:val="24"/>
                <w:szCs w:val="24"/>
                <w:highlight w:val="none"/>
                <w:lang w:eastAsia="zh-CN"/>
              </w:rPr>
            </w:pPr>
            <w:r>
              <w:rPr>
                <w:rFonts w:hint="eastAsia"/>
                <w:kern w:val="0"/>
                <w:sz w:val="20"/>
                <w:szCs w:val="20"/>
                <w:highlight w:val="none"/>
                <w:lang w:val="en-US" w:eastAsia="zh-CN"/>
              </w:rPr>
              <w:t>6</w:t>
            </w:r>
          </w:p>
        </w:tc>
        <w:tc>
          <w:tcPr>
            <w:tcW w:w="769" w:type="dxa"/>
            <w:tcBorders>
              <w:top w:val="nil"/>
              <w:left w:val="nil"/>
              <w:bottom w:val="single" w:color="auto" w:sz="4" w:space="0"/>
              <w:right w:val="single" w:color="auto" w:sz="4" w:space="0"/>
            </w:tcBorders>
          </w:tcPr>
          <w:p>
            <w:pPr>
              <w:widowControl/>
              <w:spacing w:line="280" w:lineRule="exact"/>
              <w:jc w:val="center"/>
              <w:rPr>
                <w:rFonts w:ascii="Times New Roman" w:hAnsi="Times New Roman"/>
                <w:kern w:val="0"/>
                <w:sz w:val="24"/>
                <w:szCs w:val="24"/>
                <w:highlight w:val="none"/>
              </w:rPr>
            </w:pPr>
            <w:r>
              <w:rPr>
                <w:rFonts w:hint="eastAsia" w:ascii="Times New Roman" w:hAnsi="Times New Roman"/>
                <w:kern w:val="0"/>
                <w:sz w:val="21"/>
                <w:szCs w:val="21"/>
                <w:highlight w:val="none"/>
                <w:lang w:val="en-US" w:eastAsia="zh-CN"/>
              </w:rPr>
              <w:t>2018年决算报表数据</w:t>
            </w:r>
          </w:p>
        </w:tc>
      </w:tr>
      <w:tr>
        <w:tblPrEx>
          <w:tblLayout w:type="fixed"/>
          <w:tblCellMar>
            <w:top w:w="0" w:type="dxa"/>
            <w:left w:w="108" w:type="dxa"/>
            <w:bottom w:w="0" w:type="dxa"/>
            <w:right w:w="108" w:type="dxa"/>
          </w:tblCellMar>
        </w:tblPrEx>
        <w:trPr>
          <w:jc w:val="center"/>
        </w:trPr>
        <w:tc>
          <w:tcPr>
            <w:tcW w:w="64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过程</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Times New Roman" w:hAnsi="Times New Roman"/>
                <w:kern w:val="0"/>
                <w:sz w:val="20"/>
                <w:szCs w:val="20"/>
                <w:highlight w:val="none"/>
              </w:rPr>
            </w:pPr>
            <w:r>
              <w:rPr>
                <w:rFonts w:ascii="Times New Roman" w:hAnsi="Times New Roman"/>
                <w:kern w:val="0"/>
                <w:sz w:val="20"/>
                <w:szCs w:val="20"/>
                <w:highlight w:val="none"/>
              </w:rPr>
              <w:t>61</w:t>
            </w:r>
          </w:p>
        </w:tc>
        <w:tc>
          <w:tcPr>
            <w:tcW w:w="673" w:type="dxa"/>
            <w:vMerge w:val="restart"/>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预算管理</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r>
              <w:rPr>
                <w:rFonts w:ascii="Times New Roman" w:hAnsi="Times New Roman"/>
                <w:kern w:val="0"/>
                <w:sz w:val="20"/>
                <w:szCs w:val="20"/>
                <w:highlight w:val="none"/>
              </w:rPr>
              <w:t>41</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管理制度健全性</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ascii="Times New Roman" w:hAnsi="Times New Roman"/>
                <w:kern w:val="0"/>
                <w:sz w:val="20"/>
                <w:szCs w:val="20"/>
                <w:highlight w:val="none"/>
              </w:rPr>
              <w:t>8</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highlight w:val="none"/>
              </w:rPr>
            </w:pPr>
            <w:r>
              <w:rPr>
                <w:rFonts w:hint="eastAsia" w:ascii="Times New Roman" w:hAnsi="Times New Roman" w:eastAsia="宋体"/>
                <w:kern w:val="0"/>
                <w:sz w:val="20"/>
                <w:szCs w:val="20"/>
                <w:highlight w:val="none"/>
              </w:rPr>
              <w:t>①</w:t>
            </w:r>
            <w:r>
              <w:rPr>
                <w:rFonts w:hint="eastAsia" w:ascii="Times New Roman" w:hAnsi="Times New Roman"/>
                <w:kern w:val="0"/>
                <w:sz w:val="20"/>
                <w:szCs w:val="20"/>
                <w:highlight w:val="none"/>
              </w:rPr>
              <w:t>有内部财务管理制度、会计核算制度等管理制度，</w:t>
            </w:r>
            <w:r>
              <w:rPr>
                <w:rFonts w:ascii="Times New Roman" w:hAnsi="Times New Roman"/>
                <w:kern w:val="0"/>
                <w:sz w:val="20"/>
                <w:szCs w:val="20"/>
                <w:highlight w:val="none"/>
              </w:rPr>
              <w:t>2</w:t>
            </w:r>
            <w:r>
              <w:rPr>
                <w:rFonts w:hint="eastAsia" w:ascii="Times New Roman" w:hAnsi="Times New Roman"/>
                <w:kern w:val="0"/>
                <w:sz w:val="20"/>
                <w:szCs w:val="20"/>
                <w:highlight w:val="none"/>
              </w:rPr>
              <w:t>分；</w:t>
            </w:r>
          </w:p>
          <w:p>
            <w:pPr>
              <w:widowControl/>
              <w:spacing w:line="240" w:lineRule="exact"/>
              <w:jc w:val="left"/>
              <w:rPr>
                <w:rFonts w:ascii="Times New Roman" w:hAnsi="Times New Roman"/>
                <w:kern w:val="0"/>
                <w:sz w:val="20"/>
                <w:szCs w:val="20"/>
                <w:highlight w:val="none"/>
              </w:rPr>
            </w:pPr>
            <w:r>
              <w:rPr>
                <w:rFonts w:hint="eastAsia" w:ascii="Times New Roman" w:hAnsi="Times New Roman" w:eastAsia="宋体"/>
                <w:kern w:val="0"/>
                <w:sz w:val="20"/>
                <w:szCs w:val="20"/>
                <w:highlight w:val="none"/>
              </w:rPr>
              <w:t>②</w:t>
            </w:r>
            <w:r>
              <w:rPr>
                <w:rFonts w:hint="eastAsia" w:ascii="Times New Roman" w:hAnsi="Times New Roman"/>
                <w:kern w:val="0"/>
                <w:sz w:val="20"/>
                <w:szCs w:val="20"/>
                <w:highlight w:val="none"/>
              </w:rPr>
              <w:t>有本部门厉行节约制度，</w:t>
            </w:r>
            <w:r>
              <w:rPr>
                <w:rFonts w:ascii="Times New Roman" w:hAnsi="Times New Roman"/>
                <w:kern w:val="0"/>
                <w:sz w:val="20"/>
                <w:szCs w:val="20"/>
                <w:highlight w:val="none"/>
              </w:rPr>
              <w:t>2</w:t>
            </w:r>
            <w:r>
              <w:rPr>
                <w:rFonts w:hint="eastAsia" w:ascii="Times New Roman" w:hAnsi="Times New Roman"/>
                <w:kern w:val="0"/>
                <w:sz w:val="20"/>
                <w:szCs w:val="20"/>
                <w:highlight w:val="none"/>
              </w:rPr>
              <w:t>分；</w:t>
            </w:r>
          </w:p>
          <w:p>
            <w:pPr>
              <w:widowControl/>
              <w:spacing w:line="240" w:lineRule="exact"/>
              <w:jc w:val="left"/>
              <w:rPr>
                <w:rFonts w:ascii="Times New Roman" w:hAnsi="Times New Roman"/>
                <w:kern w:val="0"/>
                <w:sz w:val="20"/>
                <w:szCs w:val="20"/>
                <w:highlight w:val="none"/>
              </w:rPr>
            </w:pPr>
            <w:r>
              <w:rPr>
                <w:rFonts w:hint="eastAsia" w:ascii="Times New Roman" w:hAnsi="Times New Roman" w:eastAsia="宋体"/>
                <w:kern w:val="0"/>
                <w:sz w:val="20"/>
                <w:szCs w:val="20"/>
                <w:highlight w:val="none"/>
              </w:rPr>
              <w:t>③</w:t>
            </w:r>
            <w:r>
              <w:rPr>
                <w:rFonts w:hint="eastAsia" w:ascii="Times New Roman" w:hAnsi="Times New Roman"/>
                <w:kern w:val="0"/>
                <w:sz w:val="20"/>
                <w:szCs w:val="20"/>
                <w:highlight w:val="none"/>
              </w:rPr>
              <w:t>相关管理制度合法、合规、完整，</w:t>
            </w:r>
            <w:r>
              <w:rPr>
                <w:rFonts w:ascii="Times New Roman" w:hAnsi="Times New Roman"/>
                <w:kern w:val="0"/>
                <w:sz w:val="20"/>
                <w:szCs w:val="20"/>
                <w:highlight w:val="none"/>
              </w:rPr>
              <w:t>2</w:t>
            </w:r>
            <w:r>
              <w:rPr>
                <w:rFonts w:hint="eastAsia" w:ascii="Times New Roman" w:hAnsi="Times New Roman"/>
                <w:kern w:val="0"/>
                <w:sz w:val="20"/>
                <w:szCs w:val="20"/>
                <w:highlight w:val="none"/>
              </w:rPr>
              <w:t>分；</w:t>
            </w:r>
            <w:r>
              <w:rPr>
                <w:rFonts w:hint="eastAsia" w:ascii="Times New Roman" w:hAnsi="Times New Roman" w:eastAsia="宋体"/>
                <w:kern w:val="0"/>
                <w:sz w:val="20"/>
                <w:szCs w:val="20"/>
                <w:highlight w:val="none"/>
              </w:rPr>
              <w:t>④</w:t>
            </w:r>
            <w:r>
              <w:rPr>
                <w:rFonts w:hint="eastAsia" w:ascii="Times New Roman" w:hAnsi="Times New Roman"/>
                <w:kern w:val="0"/>
                <w:sz w:val="20"/>
                <w:szCs w:val="20"/>
                <w:highlight w:val="none"/>
              </w:rPr>
              <w:t>相关管理制度得到有效执行，</w:t>
            </w:r>
            <w:r>
              <w:rPr>
                <w:rFonts w:ascii="Times New Roman" w:hAnsi="Times New Roman"/>
                <w:kern w:val="0"/>
                <w:sz w:val="20"/>
                <w:szCs w:val="20"/>
                <w:highlight w:val="none"/>
              </w:rPr>
              <w:t>2</w:t>
            </w:r>
            <w:r>
              <w:rPr>
                <w:rFonts w:hint="eastAsia" w:ascii="Times New Roman" w:hAnsi="Times New Roman"/>
                <w:kern w:val="0"/>
                <w:sz w:val="20"/>
                <w:szCs w:val="20"/>
                <w:highlight w:val="none"/>
              </w:rPr>
              <w:t>分。</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　</w:t>
            </w:r>
          </w:p>
        </w:tc>
        <w:tc>
          <w:tcPr>
            <w:tcW w:w="637" w:type="dxa"/>
            <w:tcBorders>
              <w:top w:val="nil"/>
              <w:left w:val="nil"/>
              <w:bottom w:val="single" w:color="auto" w:sz="4" w:space="0"/>
              <w:right w:val="single" w:color="auto" w:sz="4" w:space="0"/>
            </w:tcBorders>
            <w:vAlign w:val="center"/>
          </w:tcPr>
          <w:p>
            <w:pPr>
              <w:widowControl/>
              <w:spacing w:line="230" w:lineRule="exact"/>
              <w:jc w:val="center"/>
              <w:rPr>
                <w:rFonts w:hint="eastAsia" w:ascii="Times New Roman" w:hAnsi="Times New Roman" w:eastAsia="仿宋_GB2312"/>
                <w:kern w:val="0"/>
                <w:sz w:val="24"/>
                <w:szCs w:val="24"/>
                <w:highlight w:val="none"/>
                <w:lang w:val="en-US" w:eastAsia="zh-CN"/>
              </w:rPr>
            </w:pPr>
            <w:r>
              <w:rPr>
                <w:rFonts w:hint="eastAsia"/>
                <w:kern w:val="0"/>
                <w:sz w:val="20"/>
                <w:szCs w:val="20"/>
                <w:highlight w:val="none"/>
                <w:lang w:val="en-US" w:eastAsia="zh-CN"/>
              </w:rPr>
              <w:t>8</w:t>
            </w:r>
          </w:p>
        </w:tc>
        <w:tc>
          <w:tcPr>
            <w:tcW w:w="769" w:type="dxa"/>
            <w:tcBorders>
              <w:top w:val="nil"/>
              <w:left w:val="nil"/>
              <w:bottom w:val="single" w:color="auto" w:sz="4" w:space="0"/>
              <w:right w:val="single" w:color="auto" w:sz="4" w:space="0"/>
            </w:tcBorders>
          </w:tcPr>
          <w:p>
            <w:pPr>
              <w:widowControl/>
              <w:spacing w:line="280" w:lineRule="exact"/>
              <w:jc w:val="center"/>
              <w:rPr>
                <w:rFonts w:hint="eastAsia" w:ascii="Times New Roman" w:hAnsi="Times New Roman" w:eastAsia="仿宋_GB2312"/>
                <w:kern w:val="0"/>
                <w:sz w:val="20"/>
                <w:szCs w:val="20"/>
                <w:highlight w:val="none"/>
                <w:lang w:val="en-US" w:eastAsia="zh-CN"/>
              </w:rPr>
            </w:pPr>
            <w:r>
              <w:rPr>
                <w:rFonts w:hint="eastAsia" w:ascii="Times New Roman" w:hAnsi="Times New Roman"/>
                <w:kern w:val="0"/>
                <w:sz w:val="20"/>
                <w:szCs w:val="20"/>
                <w:highlight w:val="none"/>
                <w:lang w:val="en-US" w:eastAsia="zh-CN"/>
              </w:rPr>
              <w:t>各项制度健全，执行到位。</w:t>
            </w:r>
          </w:p>
        </w:tc>
      </w:tr>
      <w:tr>
        <w:tblPrEx>
          <w:tblLayout w:type="fixed"/>
          <w:tblCellMar>
            <w:top w:w="0" w:type="dxa"/>
            <w:left w:w="108" w:type="dxa"/>
            <w:bottom w:w="0" w:type="dxa"/>
            <w:right w:w="108" w:type="dxa"/>
          </w:tblCellMar>
        </w:tblPrEx>
        <w:trPr>
          <w:jc w:val="center"/>
        </w:trPr>
        <w:tc>
          <w:tcPr>
            <w:tcW w:w="648"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416"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673" w:type="dxa"/>
            <w:vMerge w:val="continue"/>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416" w:type="dxa"/>
            <w:vMerge w:val="continue"/>
            <w:tcBorders>
              <w:top w:val="single" w:color="auto" w:sz="4" w:space="0"/>
              <w:left w:val="single" w:color="auto"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资金使用合规性</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ascii="Times New Roman" w:hAnsi="Times New Roman"/>
                <w:kern w:val="0"/>
                <w:sz w:val="20"/>
                <w:szCs w:val="20"/>
                <w:highlight w:val="none"/>
              </w:rPr>
              <w:t>6</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highlight w:val="none"/>
              </w:rPr>
            </w:pPr>
            <w:r>
              <w:rPr>
                <w:rFonts w:hint="eastAsia" w:ascii="Times New Roman" w:hAnsi="Times New Roman" w:eastAsia="宋体"/>
                <w:kern w:val="0"/>
                <w:sz w:val="20"/>
                <w:szCs w:val="20"/>
                <w:highlight w:val="none"/>
              </w:rPr>
              <w:t>①</w:t>
            </w:r>
            <w:r>
              <w:rPr>
                <w:rFonts w:hint="eastAsia" w:ascii="Times New Roman" w:hAnsi="Times New Roman"/>
                <w:kern w:val="0"/>
                <w:sz w:val="20"/>
                <w:szCs w:val="20"/>
                <w:highlight w:val="none"/>
              </w:rPr>
              <w:t>支出符合国家财经法规和财务管理制度规定以及有关专项资金管理办法的规定；</w:t>
            </w:r>
            <w:r>
              <w:rPr>
                <w:rFonts w:hint="eastAsia" w:ascii="Times New Roman" w:hAnsi="Times New Roman" w:eastAsia="宋体"/>
                <w:kern w:val="0"/>
                <w:sz w:val="20"/>
                <w:szCs w:val="20"/>
                <w:highlight w:val="none"/>
              </w:rPr>
              <w:t>②</w:t>
            </w:r>
            <w:r>
              <w:rPr>
                <w:rFonts w:hint="eastAsia" w:ascii="Times New Roman" w:hAnsi="Times New Roman"/>
                <w:kern w:val="0"/>
                <w:sz w:val="20"/>
                <w:szCs w:val="20"/>
                <w:highlight w:val="none"/>
              </w:rPr>
              <w:t>资金拨付有完整的审批程序和手续；</w:t>
            </w:r>
            <w:r>
              <w:rPr>
                <w:rFonts w:hint="eastAsia" w:ascii="Times New Roman" w:hAnsi="Times New Roman" w:eastAsia="宋体"/>
                <w:kern w:val="0"/>
                <w:sz w:val="20"/>
                <w:szCs w:val="20"/>
                <w:highlight w:val="none"/>
              </w:rPr>
              <w:t>③</w:t>
            </w:r>
            <w:r>
              <w:rPr>
                <w:rFonts w:hint="eastAsia" w:ascii="Times New Roman" w:hAnsi="Times New Roman"/>
                <w:kern w:val="0"/>
                <w:sz w:val="20"/>
                <w:szCs w:val="20"/>
                <w:highlight w:val="none"/>
              </w:rPr>
              <w:t>项目支出按规定经过评估论证；</w:t>
            </w:r>
            <w:r>
              <w:rPr>
                <w:rFonts w:hint="eastAsia" w:ascii="Times New Roman" w:hAnsi="Times New Roman" w:eastAsia="宋体"/>
                <w:kern w:val="0"/>
                <w:sz w:val="20"/>
                <w:szCs w:val="20"/>
                <w:highlight w:val="none"/>
              </w:rPr>
              <w:t>④</w:t>
            </w:r>
            <w:r>
              <w:rPr>
                <w:rFonts w:hint="eastAsia" w:ascii="Times New Roman" w:hAnsi="Times New Roman"/>
                <w:kern w:val="0"/>
                <w:sz w:val="20"/>
                <w:szCs w:val="20"/>
                <w:highlight w:val="none"/>
              </w:rPr>
              <w:t>支出符合部门预算批复的用途；</w:t>
            </w:r>
            <w:r>
              <w:rPr>
                <w:rFonts w:hint="eastAsia" w:ascii="Times New Roman" w:hAnsi="Times New Roman" w:eastAsia="宋体"/>
                <w:kern w:val="0"/>
                <w:sz w:val="20"/>
                <w:szCs w:val="20"/>
                <w:highlight w:val="none"/>
              </w:rPr>
              <w:t>⑤</w:t>
            </w:r>
            <w:r>
              <w:rPr>
                <w:rFonts w:hint="eastAsia" w:ascii="Times New Roman" w:hAnsi="Times New Roman"/>
                <w:kern w:val="0"/>
                <w:sz w:val="20"/>
                <w:szCs w:val="20"/>
                <w:highlight w:val="none"/>
              </w:rPr>
              <w:t>资金使用无截留、挤占、挪用、虚列支出等情况。</w:t>
            </w:r>
          </w:p>
          <w:p>
            <w:pPr>
              <w:widowControl/>
              <w:spacing w:line="24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以上情况每出现一例不符合要求的扣</w:t>
            </w:r>
            <w:r>
              <w:rPr>
                <w:rFonts w:ascii="Times New Roman" w:hAnsi="Times New Roman"/>
                <w:kern w:val="0"/>
                <w:sz w:val="20"/>
                <w:szCs w:val="20"/>
                <w:highlight w:val="none"/>
              </w:rPr>
              <w:t>1</w:t>
            </w:r>
            <w:r>
              <w:rPr>
                <w:rFonts w:hint="eastAsia" w:ascii="Times New Roman" w:hAnsi="Times New Roman"/>
                <w:kern w:val="0"/>
                <w:sz w:val="20"/>
                <w:szCs w:val="20"/>
                <w:highlight w:val="none"/>
              </w:rPr>
              <w:t>分，扣完为止。</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0"/>
                <w:szCs w:val="20"/>
                <w:highlight w:val="none"/>
                <w:lang w:val="en-US" w:eastAsia="zh-CN"/>
              </w:rPr>
            </w:pPr>
          </w:p>
        </w:tc>
        <w:tc>
          <w:tcPr>
            <w:tcW w:w="637" w:type="dxa"/>
            <w:tcBorders>
              <w:top w:val="nil"/>
              <w:left w:val="nil"/>
              <w:bottom w:val="single" w:color="auto" w:sz="4" w:space="0"/>
              <w:right w:val="single" w:color="auto" w:sz="4" w:space="0"/>
            </w:tcBorders>
            <w:vAlign w:val="center"/>
          </w:tcPr>
          <w:p>
            <w:pPr>
              <w:widowControl/>
              <w:spacing w:line="230" w:lineRule="exact"/>
              <w:jc w:val="center"/>
              <w:rPr>
                <w:rFonts w:hint="eastAsia" w:ascii="Times New Roman" w:hAnsi="Times New Roman" w:eastAsia="仿宋_GB2312"/>
                <w:kern w:val="0"/>
                <w:sz w:val="24"/>
                <w:szCs w:val="24"/>
                <w:highlight w:val="none"/>
                <w:lang w:val="en-US" w:eastAsia="zh-CN"/>
              </w:rPr>
            </w:pPr>
            <w:r>
              <w:rPr>
                <w:rFonts w:hint="eastAsia" w:ascii="Times New Roman" w:hAnsi="Times New Roman"/>
                <w:kern w:val="0"/>
                <w:sz w:val="24"/>
                <w:szCs w:val="24"/>
                <w:highlight w:val="none"/>
                <w:lang w:val="en-US" w:eastAsia="zh-CN"/>
              </w:rPr>
              <w:t>5</w:t>
            </w:r>
          </w:p>
        </w:tc>
        <w:tc>
          <w:tcPr>
            <w:tcW w:w="769" w:type="dxa"/>
            <w:tcBorders>
              <w:top w:val="nil"/>
              <w:left w:val="nil"/>
              <w:bottom w:val="single" w:color="auto" w:sz="4" w:space="0"/>
              <w:right w:val="single" w:color="auto" w:sz="4" w:space="0"/>
            </w:tcBorders>
          </w:tcPr>
          <w:p>
            <w:pPr>
              <w:widowControl/>
              <w:spacing w:line="280" w:lineRule="exact"/>
              <w:jc w:val="center"/>
              <w:rPr>
                <w:rFonts w:hint="eastAsia" w:ascii="Times New Roman" w:hAnsi="Times New Roman" w:eastAsia="仿宋_GB2312"/>
                <w:kern w:val="0"/>
                <w:sz w:val="20"/>
                <w:szCs w:val="20"/>
                <w:highlight w:val="none"/>
                <w:lang w:val="en-US" w:eastAsia="zh-CN"/>
              </w:rPr>
            </w:pPr>
            <w:r>
              <w:rPr>
                <w:rFonts w:hint="eastAsia" w:ascii="Times New Roman" w:hAnsi="Times New Roman"/>
                <w:kern w:val="0"/>
                <w:sz w:val="20"/>
                <w:szCs w:val="20"/>
                <w:highlight w:val="none"/>
                <w:lang w:eastAsia="zh-CN"/>
              </w:rPr>
              <w:t>大额支出（</w:t>
            </w:r>
            <w:r>
              <w:rPr>
                <w:rFonts w:hint="eastAsia" w:ascii="Times New Roman" w:hAnsi="Times New Roman"/>
                <w:kern w:val="0"/>
                <w:sz w:val="20"/>
                <w:szCs w:val="20"/>
                <w:highlight w:val="none"/>
                <w:lang w:val="en-US" w:eastAsia="zh-CN"/>
              </w:rPr>
              <w:t>10000元以上）经馆班子扩大会决定，无挪用、虚列支出现象。</w:t>
            </w: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673" w:type="dxa"/>
            <w:vMerge w:val="continue"/>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416" w:type="dxa"/>
            <w:vMerge w:val="continue"/>
            <w:tcBorders>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1072"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hint="eastAsia" w:ascii="Times New Roman" w:hAnsi="Times New Roman"/>
                <w:spacing w:val="-17"/>
                <w:kern w:val="0"/>
                <w:sz w:val="20"/>
                <w:szCs w:val="20"/>
                <w:highlight w:val="none"/>
              </w:rPr>
              <w:t>预决算信息</w:t>
            </w:r>
            <w:r>
              <w:rPr>
                <w:rFonts w:hint="eastAsia" w:ascii="Times New Roman" w:hAnsi="Times New Roman"/>
                <w:kern w:val="0"/>
                <w:sz w:val="20"/>
                <w:szCs w:val="20"/>
                <w:highlight w:val="none"/>
              </w:rPr>
              <w:t>公开性</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ascii="Times New Roman" w:hAnsi="Times New Roman"/>
                <w:kern w:val="0"/>
                <w:sz w:val="20"/>
                <w:szCs w:val="20"/>
                <w:highlight w:val="none"/>
              </w:rPr>
              <w:t>5</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highlight w:val="none"/>
              </w:rPr>
            </w:pPr>
            <w:r>
              <w:rPr>
                <w:rFonts w:hint="eastAsia" w:ascii="Times New Roman" w:hAnsi="Times New Roman" w:eastAsia="宋体"/>
                <w:kern w:val="0"/>
                <w:sz w:val="20"/>
                <w:szCs w:val="20"/>
                <w:highlight w:val="none"/>
              </w:rPr>
              <w:t>①</w:t>
            </w:r>
            <w:r>
              <w:rPr>
                <w:rFonts w:hint="eastAsia" w:ascii="Times New Roman" w:hAnsi="Times New Roman"/>
                <w:kern w:val="0"/>
                <w:sz w:val="20"/>
                <w:szCs w:val="20"/>
                <w:highlight w:val="none"/>
              </w:rPr>
              <w:t>按规定内容公开预决算信息，</w:t>
            </w:r>
            <w:r>
              <w:rPr>
                <w:rFonts w:ascii="Times New Roman" w:hAnsi="Times New Roman"/>
                <w:kern w:val="0"/>
                <w:sz w:val="20"/>
                <w:szCs w:val="20"/>
                <w:highlight w:val="none"/>
              </w:rPr>
              <w:t>1</w:t>
            </w:r>
            <w:r>
              <w:rPr>
                <w:rFonts w:hint="eastAsia" w:ascii="Times New Roman" w:hAnsi="Times New Roman"/>
                <w:kern w:val="0"/>
                <w:sz w:val="20"/>
                <w:szCs w:val="20"/>
                <w:highlight w:val="none"/>
              </w:rPr>
              <w:t>分；</w:t>
            </w:r>
            <w:r>
              <w:rPr>
                <w:rFonts w:hint="eastAsia" w:ascii="Times New Roman" w:hAnsi="Times New Roman" w:eastAsia="宋体"/>
                <w:kern w:val="0"/>
                <w:sz w:val="20"/>
                <w:szCs w:val="20"/>
                <w:highlight w:val="none"/>
              </w:rPr>
              <w:t>②</w:t>
            </w:r>
            <w:r>
              <w:rPr>
                <w:rFonts w:hint="eastAsia" w:ascii="Times New Roman" w:hAnsi="Times New Roman"/>
                <w:kern w:val="0"/>
                <w:sz w:val="20"/>
                <w:szCs w:val="20"/>
                <w:highlight w:val="none"/>
              </w:rPr>
              <w:t>按规定时限公开预决算信息，</w:t>
            </w:r>
            <w:r>
              <w:rPr>
                <w:rFonts w:ascii="Times New Roman" w:hAnsi="Times New Roman"/>
                <w:kern w:val="0"/>
                <w:sz w:val="20"/>
                <w:szCs w:val="20"/>
                <w:highlight w:val="none"/>
              </w:rPr>
              <w:t>1</w:t>
            </w:r>
            <w:r>
              <w:rPr>
                <w:rFonts w:hint="eastAsia" w:ascii="Times New Roman" w:hAnsi="Times New Roman"/>
                <w:kern w:val="0"/>
                <w:sz w:val="20"/>
                <w:szCs w:val="20"/>
                <w:highlight w:val="none"/>
              </w:rPr>
              <w:t>分；</w:t>
            </w:r>
            <w:r>
              <w:rPr>
                <w:rFonts w:hint="eastAsia" w:ascii="Times New Roman" w:hAnsi="Times New Roman" w:eastAsia="宋体"/>
                <w:kern w:val="0"/>
                <w:sz w:val="20"/>
                <w:szCs w:val="20"/>
                <w:highlight w:val="none"/>
              </w:rPr>
              <w:t>③</w:t>
            </w:r>
            <w:r>
              <w:rPr>
                <w:rFonts w:hint="eastAsia" w:ascii="Times New Roman" w:hAnsi="Times New Roman"/>
                <w:kern w:val="0"/>
                <w:sz w:val="20"/>
                <w:szCs w:val="20"/>
                <w:highlight w:val="none"/>
              </w:rPr>
              <w:t>基础数据信息和会计信息资料真实，</w:t>
            </w:r>
            <w:r>
              <w:rPr>
                <w:rFonts w:ascii="Times New Roman" w:hAnsi="Times New Roman"/>
                <w:kern w:val="0"/>
                <w:sz w:val="20"/>
                <w:szCs w:val="20"/>
                <w:highlight w:val="none"/>
              </w:rPr>
              <w:t>1</w:t>
            </w:r>
            <w:r>
              <w:rPr>
                <w:rFonts w:hint="eastAsia" w:ascii="Times New Roman" w:hAnsi="Times New Roman"/>
                <w:kern w:val="0"/>
                <w:sz w:val="20"/>
                <w:szCs w:val="20"/>
                <w:highlight w:val="none"/>
              </w:rPr>
              <w:t>分；</w:t>
            </w:r>
            <w:r>
              <w:rPr>
                <w:rFonts w:hint="eastAsia" w:ascii="Times New Roman" w:hAnsi="Times New Roman" w:eastAsia="宋体"/>
                <w:kern w:val="0"/>
                <w:sz w:val="20"/>
                <w:szCs w:val="20"/>
                <w:highlight w:val="none"/>
              </w:rPr>
              <w:t>④</w:t>
            </w:r>
            <w:r>
              <w:rPr>
                <w:rFonts w:hint="eastAsia" w:ascii="Times New Roman" w:hAnsi="Times New Roman"/>
                <w:kern w:val="0"/>
                <w:sz w:val="20"/>
                <w:szCs w:val="20"/>
                <w:highlight w:val="none"/>
              </w:rPr>
              <w:t>基础数据信息和会计信息资料完整，</w:t>
            </w:r>
            <w:r>
              <w:rPr>
                <w:rFonts w:ascii="Times New Roman" w:hAnsi="Times New Roman"/>
                <w:kern w:val="0"/>
                <w:sz w:val="20"/>
                <w:szCs w:val="20"/>
                <w:highlight w:val="none"/>
              </w:rPr>
              <w:t>1</w:t>
            </w:r>
            <w:r>
              <w:rPr>
                <w:rFonts w:hint="eastAsia" w:ascii="Times New Roman" w:hAnsi="Times New Roman"/>
                <w:kern w:val="0"/>
                <w:sz w:val="20"/>
                <w:szCs w:val="20"/>
                <w:highlight w:val="none"/>
              </w:rPr>
              <w:t>分；</w:t>
            </w:r>
            <w:r>
              <w:rPr>
                <w:rFonts w:hint="eastAsia" w:ascii="Times New Roman" w:hAnsi="Times New Roman" w:eastAsia="宋体"/>
                <w:kern w:val="0"/>
                <w:sz w:val="20"/>
                <w:szCs w:val="20"/>
                <w:highlight w:val="none"/>
              </w:rPr>
              <w:t>⑤</w:t>
            </w:r>
            <w:r>
              <w:rPr>
                <w:rFonts w:hint="eastAsia" w:ascii="Times New Roman" w:hAnsi="Times New Roman"/>
                <w:kern w:val="0"/>
                <w:sz w:val="20"/>
                <w:szCs w:val="20"/>
                <w:highlight w:val="none"/>
              </w:rPr>
              <w:t>基础数据信息和汇集信息资料准确，</w:t>
            </w:r>
            <w:r>
              <w:rPr>
                <w:rFonts w:ascii="Times New Roman" w:hAnsi="Times New Roman"/>
                <w:kern w:val="0"/>
                <w:sz w:val="20"/>
                <w:szCs w:val="20"/>
                <w:highlight w:val="none"/>
              </w:rPr>
              <w:t>1</w:t>
            </w:r>
            <w:r>
              <w:rPr>
                <w:rFonts w:hint="eastAsia" w:ascii="Times New Roman" w:hAnsi="Times New Roman"/>
                <w:kern w:val="0"/>
                <w:sz w:val="20"/>
                <w:szCs w:val="20"/>
                <w:highlight w:val="none"/>
              </w:rPr>
              <w:t>分。</w:t>
            </w:r>
            <w:r>
              <w:rPr>
                <w:rFonts w:ascii="Times New Roman" w:hAnsi="Times New Roman"/>
                <w:kern w:val="0"/>
                <w:sz w:val="20"/>
                <w:szCs w:val="20"/>
                <w:highlight w:val="none"/>
              </w:rPr>
              <w:t xml:space="preserve">  </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637" w:type="dxa"/>
            <w:tcBorders>
              <w:top w:val="nil"/>
              <w:left w:val="nil"/>
              <w:bottom w:val="single" w:color="auto" w:sz="4" w:space="0"/>
              <w:right w:val="single" w:color="auto" w:sz="4" w:space="0"/>
            </w:tcBorders>
            <w:vAlign w:val="center"/>
          </w:tcPr>
          <w:p>
            <w:pPr>
              <w:widowControl/>
              <w:spacing w:line="230" w:lineRule="exact"/>
              <w:jc w:val="center"/>
              <w:rPr>
                <w:rFonts w:ascii="Times New Roman" w:hAnsi="Times New Roman"/>
                <w:kern w:val="0"/>
                <w:sz w:val="24"/>
                <w:szCs w:val="24"/>
                <w:highlight w:val="none"/>
              </w:rPr>
            </w:pPr>
            <w:r>
              <w:rPr>
                <w:rFonts w:hint="eastAsia" w:eastAsia="仿宋_GB2312"/>
                <w:kern w:val="0"/>
                <w:sz w:val="20"/>
                <w:szCs w:val="20"/>
                <w:highlight w:val="none"/>
              </w:rPr>
              <w:t>5</w:t>
            </w:r>
          </w:p>
        </w:tc>
        <w:tc>
          <w:tcPr>
            <w:tcW w:w="769" w:type="dxa"/>
            <w:tcBorders>
              <w:top w:val="nil"/>
              <w:left w:val="nil"/>
              <w:bottom w:val="single" w:color="auto" w:sz="4" w:space="0"/>
              <w:right w:val="single" w:color="auto" w:sz="4" w:space="0"/>
            </w:tcBorders>
          </w:tcPr>
          <w:p>
            <w:pPr>
              <w:widowControl/>
              <w:spacing w:line="280" w:lineRule="exact"/>
              <w:jc w:val="center"/>
              <w:rPr>
                <w:rFonts w:hint="eastAsia" w:ascii="Times New Roman" w:hAnsi="Times New Roman" w:eastAsia="仿宋_GB2312"/>
                <w:kern w:val="0"/>
                <w:sz w:val="20"/>
                <w:szCs w:val="20"/>
                <w:highlight w:val="none"/>
                <w:lang w:eastAsia="zh-CN"/>
              </w:rPr>
            </w:pPr>
            <w:r>
              <w:rPr>
                <w:rFonts w:hint="eastAsia" w:ascii="Times New Roman" w:hAnsi="Times New Roman"/>
                <w:kern w:val="0"/>
                <w:sz w:val="20"/>
                <w:szCs w:val="20"/>
                <w:highlight w:val="none"/>
                <w:lang w:eastAsia="zh-CN"/>
              </w:rPr>
              <w:t>根据上级要求，及时公开预决算信息。</w:t>
            </w:r>
          </w:p>
        </w:tc>
      </w:tr>
      <w:tr>
        <w:tblPrEx>
          <w:tblLayout w:type="fixed"/>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产出及效率</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ascii="Times New Roman" w:hAnsi="Times New Roman"/>
                <w:kern w:val="0"/>
                <w:sz w:val="20"/>
                <w:szCs w:val="20"/>
                <w:highlight w:val="none"/>
              </w:rPr>
              <w:t>26</w:t>
            </w:r>
          </w:p>
        </w:tc>
        <w:tc>
          <w:tcPr>
            <w:tcW w:w="673"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职责履行</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ascii="Times New Roman" w:hAnsi="Times New Roman"/>
                <w:kern w:val="0"/>
                <w:sz w:val="20"/>
                <w:szCs w:val="20"/>
                <w:highlight w:val="none"/>
              </w:rPr>
              <w:t>8</w:t>
            </w:r>
          </w:p>
        </w:tc>
        <w:tc>
          <w:tcPr>
            <w:tcW w:w="1072" w:type="dxa"/>
            <w:tcBorders>
              <w:top w:val="nil"/>
              <w:left w:val="nil"/>
              <w:bottom w:val="nil"/>
              <w:right w:val="single" w:color="auto" w:sz="4" w:space="0"/>
            </w:tcBorders>
            <w:vAlign w:val="center"/>
          </w:tcPr>
          <w:p>
            <w:pPr>
              <w:widowControl/>
              <w:spacing w:line="280" w:lineRule="exact"/>
              <w:jc w:val="center"/>
              <w:rPr>
                <w:rFonts w:ascii="Times New Roman" w:hAnsi="Times New Roman"/>
                <w:spacing w:val="-20"/>
                <w:kern w:val="0"/>
                <w:sz w:val="20"/>
                <w:szCs w:val="20"/>
                <w:highlight w:val="none"/>
              </w:rPr>
            </w:pPr>
            <w:r>
              <w:rPr>
                <w:rFonts w:hint="eastAsia" w:ascii="Times New Roman" w:hAnsi="Times New Roman"/>
                <w:spacing w:val="-20"/>
                <w:kern w:val="0"/>
                <w:sz w:val="20"/>
                <w:szCs w:val="20"/>
                <w:highlight w:val="none"/>
              </w:rPr>
              <w:t>重点工作</w:t>
            </w:r>
          </w:p>
          <w:p>
            <w:pPr>
              <w:widowControl/>
              <w:spacing w:line="280" w:lineRule="exact"/>
              <w:jc w:val="center"/>
              <w:rPr>
                <w:rFonts w:ascii="Times New Roman" w:hAnsi="Times New Roman"/>
                <w:kern w:val="0"/>
                <w:sz w:val="20"/>
                <w:szCs w:val="20"/>
                <w:highlight w:val="none"/>
              </w:rPr>
            </w:pPr>
            <w:r>
              <w:rPr>
                <w:rFonts w:hint="eastAsia" w:ascii="Times New Roman" w:hAnsi="Times New Roman"/>
                <w:spacing w:val="-20"/>
                <w:kern w:val="0"/>
                <w:sz w:val="20"/>
                <w:szCs w:val="20"/>
                <w:highlight w:val="none"/>
              </w:rPr>
              <w:t>实际完成率</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ascii="Times New Roman" w:hAnsi="Times New Roman"/>
                <w:kern w:val="0"/>
                <w:sz w:val="20"/>
                <w:szCs w:val="20"/>
                <w:highlight w:val="none"/>
              </w:rPr>
              <w:t>8</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根据绩效办对各部门为民办实事和部门重点工程与重点工作考核分数折算。</w:t>
            </w:r>
          </w:p>
          <w:p>
            <w:pPr>
              <w:widowControl/>
              <w:spacing w:line="24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该项得分</w:t>
            </w:r>
            <w:r>
              <w:rPr>
                <w:rFonts w:ascii="Times New Roman" w:hAnsi="Times New Roman"/>
                <w:kern w:val="0"/>
                <w:sz w:val="20"/>
                <w:szCs w:val="20"/>
                <w:highlight w:val="none"/>
              </w:rPr>
              <w:t>=</w:t>
            </w:r>
            <w:r>
              <w:rPr>
                <w:rFonts w:hint="eastAsia" w:ascii="Times New Roman" w:hAnsi="Times New Roman"/>
                <w:kern w:val="0"/>
                <w:sz w:val="20"/>
                <w:szCs w:val="20"/>
                <w:highlight w:val="none"/>
              </w:rPr>
              <w:t>（绩效办对应部分考核得分</w:t>
            </w:r>
            <w:r>
              <w:rPr>
                <w:rFonts w:ascii="Times New Roman" w:hAnsi="Times New Roman"/>
                <w:kern w:val="0"/>
                <w:sz w:val="20"/>
                <w:szCs w:val="20"/>
                <w:highlight w:val="none"/>
              </w:rPr>
              <w:t>/350</w:t>
            </w:r>
            <w:r>
              <w:rPr>
                <w:rFonts w:hint="eastAsia" w:ascii="Times New Roman" w:hAnsi="Times New Roman"/>
                <w:kern w:val="0"/>
                <w:sz w:val="20"/>
                <w:szCs w:val="20"/>
                <w:highlight w:val="none"/>
              </w:rPr>
              <w:t>）</w:t>
            </w:r>
            <w:r>
              <w:rPr>
                <w:rFonts w:ascii="Times New Roman" w:hAnsi="Times New Roman"/>
                <w:kern w:val="0"/>
                <w:sz w:val="20"/>
                <w:szCs w:val="20"/>
                <w:highlight w:val="none"/>
              </w:rPr>
              <w:t>*8</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　</w:t>
            </w:r>
          </w:p>
        </w:tc>
        <w:tc>
          <w:tcPr>
            <w:tcW w:w="637" w:type="dxa"/>
            <w:tcBorders>
              <w:top w:val="nil"/>
              <w:left w:val="nil"/>
              <w:bottom w:val="single" w:color="auto" w:sz="4" w:space="0"/>
              <w:right w:val="single" w:color="auto" w:sz="4" w:space="0"/>
            </w:tcBorders>
            <w:vAlign w:val="center"/>
          </w:tcPr>
          <w:p>
            <w:pPr>
              <w:widowControl/>
              <w:spacing w:line="230" w:lineRule="exact"/>
              <w:jc w:val="center"/>
              <w:rPr>
                <w:rFonts w:hint="eastAsia" w:ascii="Times New Roman" w:hAnsi="Times New Roman" w:eastAsia="仿宋_GB2312"/>
                <w:kern w:val="0"/>
                <w:sz w:val="24"/>
                <w:szCs w:val="24"/>
                <w:highlight w:val="none"/>
                <w:lang w:eastAsia="zh-CN"/>
              </w:rPr>
            </w:pPr>
            <w:r>
              <w:rPr>
                <w:rFonts w:hint="eastAsia"/>
                <w:kern w:val="0"/>
                <w:sz w:val="20"/>
                <w:szCs w:val="20"/>
                <w:highlight w:val="none"/>
                <w:lang w:val="en-US" w:eastAsia="zh-CN"/>
              </w:rPr>
              <w:t>6</w:t>
            </w:r>
          </w:p>
        </w:tc>
        <w:tc>
          <w:tcPr>
            <w:tcW w:w="769" w:type="dxa"/>
            <w:tcBorders>
              <w:top w:val="nil"/>
              <w:left w:val="nil"/>
              <w:bottom w:val="single" w:color="auto" w:sz="4" w:space="0"/>
              <w:right w:val="single" w:color="auto" w:sz="4" w:space="0"/>
            </w:tcBorders>
          </w:tcPr>
          <w:p>
            <w:pPr>
              <w:widowControl/>
              <w:spacing w:line="280" w:lineRule="exact"/>
              <w:jc w:val="center"/>
              <w:rPr>
                <w:rFonts w:hint="eastAsia" w:ascii="Times New Roman" w:hAnsi="Times New Roman" w:eastAsia="仿宋_GB2312"/>
                <w:kern w:val="0"/>
                <w:sz w:val="20"/>
                <w:szCs w:val="20"/>
                <w:highlight w:val="none"/>
                <w:lang w:val="en-US" w:eastAsia="zh-CN"/>
              </w:rPr>
            </w:pPr>
            <w:r>
              <w:rPr>
                <w:rFonts w:hint="eastAsia" w:ascii="Times New Roman" w:hAnsi="Times New Roman"/>
                <w:kern w:val="0"/>
                <w:sz w:val="20"/>
                <w:szCs w:val="20"/>
                <w:highlight w:val="none"/>
                <w:lang w:eastAsia="zh-CN"/>
              </w:rPr>
              <w:t>重点工作任务完成好。</w:t>
            </w:r>
          </w:p>
        </w:tc>
      </w:tr>
      <w:tr>
        <w:tblPrEx>
          <w:tblLayout w:type="fixed"/>
          <w:tblCellMar>
            <w:top w:w="0" w:type="dxa"/>
            <w:left w:w="108" w:type="dxa"/>
            <w:bottom w:w="0" w:type="dxa"/>
            <w:right w:w="108" w:type="dxa"/>
          </w:tblCellMar>
        </w:tblPrEx>
        <w:trPr>
          <w:trHeight w:val="357"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履职</w:t>
            </w:r>
            <w:r>
              <w:rPr>
                <w:rFonts w:ascii="Times New Roman" w:hAnsi="Times New Roman"/>
                <w:kern w:val="0"/>
                <w:sz w:val="20"/>
                <w:szCs w:val="20"/>
                <w:highlight w:val="none"/>
              </w:rPr>
              <w:t xml:space="preserve"> </w:t>
            </w:r>
            <w:r>
              <w:rPr>
                <w:rFonts w:hint="eastAsia" w:ascii="Times New Roman" w:hAnsi="Times New Roman"/>
                <w:kern w:val="0"/>
                <w:sz w:val="20"/>
                <w:szCs w:val="20"/>
                <w:highlight w:val="none"/>
              </w:rPr>
              <w:t>效益</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ascii="Times New Roman" w:hAnsi="Times New Roman"/>
                <w:kern w:val="0"/>
                <w:sz w:val="20"/>
                <w:szCs w:val="20"/>
                <w:highlight w:val="none"/>
              </w:rPr>
              <w:t>6</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经济效益</w:t>
            </w:r>
          </w:p>
        </w:tc>
        <w:tc>
          <w:tcPr>
            <w:tcW w:w="416" w:type="dxa"/>
            <w:vMerge w:val="restart"/>
            <w:tcBorders>
              <w:top w:val="nil"/>
              <w:left w:val="single" w:color="auto" w:sz="4" w:space="0"/>
              <w:bottom w:val="nil"/>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ascii="Times New Roman" w:hAnsi="Times New Roman"/>
                <w:kern w:val="0"/>
                <w:sz w:val="20"/>
                <w:szCs w:val="20"/>
                <w:highlight w:val="none"/>
              </w:rPr>
              <w:t>6</w:t>
            </w:r>
          </w:p>
        </w:tc>
        <w:tc>
          <w:tcPr>
            <w:tcW w:w="5477" w:type="dxa"/>
            <w:gridSpan w:val="2"/>
            <w:vMerge w:val="restart"/>
            <w:tcBorders>
              <w:top w:val="single" w:color="auto" w:sz="4" w:space="0"/>
              <w:left w:val="single" w:color="auto" w:sz="4" w:space="0"/>
              <w:bottom w:val="nil"/>
              <w:right w:val="single" w:color="000000" w:sz="4" w:space="0"/>
            </w:tcBorders>
            <w:vAlign w:val="center"/>
          </w:tcPr>
          <w:p>
            <w:pPr>
              <w:widowControl/>
              <w:spacing w:line="24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此两项指标为设置部门整体支出绩效评价指标时必须考虑的共性要素，可根据部门实际情况有选择的进行设置，并将其细化为相应的个性化指标。</w:t>
            </w:r>
          </w:p>
        </w:tc>
        <w:tc>
          <w:tcPr>
            <w:tcW w:w="637" w:type="dxa"/>
            <w:vMerge w:val="restart"/>
            <w:tcBorders>
              <w:top w:val="nil"/>
              <w:left w:val="nil"/>
              <w:right w:val="single" w:color="auto" w:sz="4" w:space="0"/>
            </w:tcBorders>
            <w:vAlign w:val="center"/>
          </w:tcPr>
          <w:p>
            <w:pPr>
              <w:widowControl/>
              <w:spacing w:line="230" w:lineRule="exact"/>
              <w:jc w:val="center"/>
              <w:rPr>
                <w:rFonts w:hint="eastAsia" w:ascii="Times New Roman" w:hAnsi="Times New Roman" w:eastAsia="仿宋_GB2312"/>
                <w:kern w:val="0"/>
                <w:sz w:val="24"/>
                <w:szCs w:val="24"/>
                <w:highlight w:val="none"/>
                <w:lang w:eastAsia="zh-CN"/>
              </w:rPr>
            </w:pPr>
            <w:r>
              <w:rPr>
                <w:rFonts w:hint="eastAsia"/>
                <w:kern w:val="0"/>
                <w:sz w:val="20"/>
                <w:szCs w:val="20"/>
                <w:highlight w:val="none"/>
                <w:lang w:val="en-US" w:eastAsia="zh-CN"/>
              </w:rPr>
              <w:t>6</w:t>
            </w:r>
          </w:p>
        </w:tc>
        <w:tc>
          <w:tcPr>
            <w:tcW w:w="769" w:type="dxa"/>
            <w:tcBorders>
              <w:top w:val="nil"/>
              <w:left w:val="nil"/>
              <w:right w:val="single" w:color="auto" w:sz="4" w:space="0"/>
            </w:tcBorders>
          </w:tcPr>
          <w:p>
            <w:pPr>
              <w:widowControl/>
              <w:spacing w:line="280" w:lineRule="exact"/>
              <w:jc w:val="center"/>
              <w:rPr>
                <w:rFonts w:hint="eastAsia" w:ascii="Times New Roman" w:hAnsi="Times New Roman" w:eastAsia="仿宋_GB2312"/>
                <w:kern w:val="0"/>
                <w:sz w:val="21"/>
                <w:szCs w:val="21"/>
                <w:highlight w:val="none"/>
                <w:lang w:eastAsia="zh-CN"/>
              </w:rPr>
            </w:pPr>
            <w:r>
              <w:rPr>
                <w:rFonts w:hint="eastAsia" w:ascii="Times New Roman" w:hAnsi="Times New Roman"/>
                <w:kern w:val="0"/>
                <w:sz w:val="21"/>
                <w:szCs w:val="21"/>
                <w:highlight w:val="none"/>
                <w:lang w:eastAsia="zh-CN"/>
              </w:rPr>
              <w:t>馆内各项评奖资料及年度考核情况为依据。</w:t>
            </w: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1072"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hint="eastAsia" w:ascii="Times New Roman" w:hAnsi="Times New Roman"/>
                <w:kern w:val="0"/>
                <w:sz w:val="20"/>
                <w:szCs w:val="20"/>
                <w:highlight w:val="none"/>
              </w:rPr>
              <w:t>社会效益</w:t>
            </w:r>
          </w:p>
        </w:tc>
        <w:tc>
          <w:tcPr>
            <w:tcW w:w="416" w:type="dxa"/>
            <w:vMerge w:val="continue"/>
            <w:tcBorders>
              <w:top w:val="nil"/>
              <w:left w:val="single" w:color="auto" w:sz="4" w:space="0"/>
              <w:bottom w:val="nil"/>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5477" w:type="dxa"/>
            <w:gridSpan w:val="2"/>
            <w:vMerge w:val="continue"/>
            <w:tcBorders>
              <w:top w:val="single" w:color="auto" w:sz="4" w:space="0"/>
              <w:left w:val="single" w:color="auto" w:sz="4" w:space="0"/>
              <w:bottom w:val="nil"/>
              <w:right w:val="single" w:color="000000" w:sz="4" w:space="0"/>
            </w:tcBorders>
            <w:vAlign w:val="center"/>
          </w:tcPr>
          <w:p>
            <w:pPr>
              <w:widowControl/>
              <w:spacing w:line="240" w:lineRule="exact"/>
              <w:jc w:val="left"/>
              <w:rPr>
                <w:rFonts w:ascii="Times New Roman" w:hAnsi="Times New Roman"/>
                <w:kern w:val="0"/>
                <w:sz w:val="20"/>
                <w:szCs w:val="20"/>
                <w:highlight w:val="none"/>
              </w:rPr>
            </w:pPr>
          </w:p>
        </w:tc>
        <w:tc>
          <w:tcPr>
            <w:tcW w:w="637" w:type="dxa"/>
            <w:vMerge w:val="continue"/>
            <w:tcBorders>
              <w:left w:val="nil"/>
              <w:bottom w:val="nil"/>
              <w:right w:val="single" w:color="auto" w:sz="4" w:space="0"/>
            </w:tcBorders>
            <w:vAlign w:val="center"/>
          </w:tcPr>
          <w:p>
            <w:pPr>
              <w:widowControl/>
              <w:spacing w:line="280" w:lineRule="exact"/>
              <w:jc w:val="center"/>
              <w:rPr>
                <w:rFonts w:ascii="Times New Roman" w:hAnsi="Times New Roman"/>
                <w:kern w:val="0"/>
                <w:sz w:val="24"/>
                <w:szCs w:val="24"/>
                <w:highlight w:val="none"/>
              </w:rPr>
            </w:pPr>
          </w:p>
        </w:tc>
        <w:tc>
          <w:tcPr>
            <w:tcW w:w="769" w:type="dxa"/>
            <w:tcBorders>
              <w:left w:val="nil"/>
              <w:bottom w:val="nil"/>
              <w:right w:val="single" w:color="auto" w:sz="4" w:space="0"/>
            </w:tcBorders>
          </w:tcPr>
          <w:p>
            <w:pPr>
              <w:widowControl/>
              <w:spacing w:line="280" w:lineRule="exact"/>
              <w:jc w:val="center"/>
              <w:rPr>
                <w:rFonts w:ascii="Times New Roman" w:hAnsi="Times New Roman"/>
                <w:kern w:val="0"/>
                <w:sz w:val="21"/>
                <w:szCs w:val="21"/>
                <w:highlight w:val="none"/>
              </w:rPr>
            </w:pP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ascii="Times New Roman" w:hAnsi="Times New Roman"/>
                <w:kern w:val="0"/>
                <w:sz w:val="20"/>
                <w:szCs w:val="20"/>
                <w:highlight w:val="none"/>
              </w:rPr>
              <w:t>12</w:t>
            </w:r>
          </w:p>
        </w:tc>
        <w:tc>
          <w:tcPr>
            <w:tcW w:w="1072"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行政效能</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ascii="Times New Roman" w:hAnsi="Times New Roman"/>
                <w:kern w:val="0"/>
                <w:sz w:val="20"/>
                <w:szCs w:val="20"/>
                <w:highlight w:val="none"/>
              </w:rPr>
              <w:t>6</w:t>
            </w:r>
          </w:p>
        </w:tc>
        <w:tc>
          <w:tcPr>
            <w:tcW w:w="2324"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促进部门改进文风会风，加强经费及资产管理，推动网上办事，提高行政效率，降低行政成本效果较好的计</w:t>
            </w:r>
            <w:r>
              <w:rPr>
                <w:rFonts w:ascii="Times New Roman" w:hAnsi="Times New Roman"/>
                <w:kern w:val="0"/>
                <w:sz w:val="20"/>
                <w:szCs w:val="20"/>
                <w:highlight w:val="none"/>
              </w:rPr>
              <w:t>6</w:t>
            </w:r>
            <w:r>
              <w:rPr>
                <w:rFonts w:hint="eastAsia" w:ascii="Times New Roman" w:hAnsi="Times New Roman"/>
                <w:kern w:val="0"/>
                <w:sz w:val="20"/>
                <w:szCs w:val="20"/>
                <w:highlight w:val="none"/>
              </w:rPr>
              <w:t>分；一般</w:t>
            </w:r>
            <w:r>
              <w:rPr>
                <w:rFonts w:ascii="Times New Roman" w:hAnsi="Times New Roman"/>
                <w:kern w:val="0"/>
                <w:sz w:val="20"/>
                <w:szCs w:val="20"/>
                <w:highlight w:val="none"/>
              </w:rPr>
              <w:t>3</w:t>
            </w:r>
            <w:r>
              <w:rPr>
                <w:rFonts w:hint="eastAsia" w:ascii="Times New Roman" w:hAnsi="Times New Roman"/>
                <w:kern w:val="0"/>
                <w:sz w:val="20"/>
                <w:szCs w:val="20"/>
                <w:highlight w:val="none"/>
              </w:rPr>
              <w:t>分；无效果或者效果不明显</w:t>
            </w:r>
            <w:r>
              <w:rPr>
                <w:rFonts w:ascii="Times New Roman" w:hAnsi="Times New Roman"/>
                <w:kern w:val="0"/>
                <w:sz w:val="20"/>
                <w:szCs w:val="20"/>
                <w:highlight w:val="none"/>
              </w:rPr>
              <w:t>0</w:t>
            </w:r>
            <w:r>
              <w:rPr>
                <w:rFonts w:hint="eastAsia" w:ascii="Times New Roman" w:hAnsi="Times New Roman"/>
                <w:kern w:val="0"/>
                <w:sz w:val="20"/>
                <w:szCs w:val="20"/>
                <w:highlight w:val="none"/>
              </w:rPr>
              <w:t>分。</w:t>
            </w:r>
          </w:p>
        </w:tc>
        <w:tc>
          <w:tcPr>
            <w:tcW w:w="3153"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根据部门自评材料评定。</w:t>
            </w:r>
          </w:p>
        </w:tc>
        <w:tc>
          <w:tcPr>
            <w:tcW w:w="637" w:type="dxa"/>
            <w:tcBorders>
              <w:top w:val="single" w:color="auto" w:sz="4" w:space="0"/>
              <w:left w:val="nil"/>
              <w:bottom w:val="single" w:color="auto" w:sz="4" w:space="0"/>
              <w:right w:val="single" w:color="auto" w:sz="4" w:space="0"/>
            </w:tcBorders>
            <w:vAlign w:val="center"/>
          </w:tcPr>
          <w:p>
            <w:pPr>
              <w:widowControl/>
              <w:spacing w:line="230" w:lineRule="exact"/>
              <w:jc w:val="center"/>
              <w:rPr>
                <w:rFonts w:hint="eastAsia" w:ascii="Times New Roman" w:hAnsi="Times New Roman" w:eastAsia="仿宋_GB2312"/>
                <w:kern w:val="0"/>
                <w:sz w:val="24"/>
                <w:szCs w:val="24"/>
                <w:highlight w:val="none"/>
                <w:lang w:eastAsia="zh-CN"/>
              </w:rPr>
            </w:pPr>
            <w:r>
              <w:rPr>
                <w:rFonts w:hint="eastAsia"/>
                <w:kern w:val="0"/>
                <w:sz w:val="20"/>
                <w:szCs w:val="20"/>
                <w:highlight w:val="none"/>
                <w:lang w:val="en-US" w:eastAsia="zh-CN"/>
              </w:rPr>
              <w:t>6</w:t>
            </w:r>
          </w:p>
        </w:tc>
        <w:tc>
          <w:tcPr>
            <w:tcW w:w="769" w:type="dxa"/>
            <w:tcBorders>
              <w:top w:val="single" w:color="auto" w:sz="4" w:space="0"/>
              <w:left w:val="nil"/>
              <w:bottom w:val="single" w:color="auto" w:sz="4" w:space="0"/>
              <w:right w:val="single" w:color="auto" w:sz="4" w:space="0"/>
            </w:tcBorders>
          </w:tcPr>
          <w:p>
            <w:pPr>
              <w:widowControl/>
              <w:spacing w:line="280" w:lineRule="exact"/>
              <w:jc w:val="center"/>
              <w:rPr>
                <w:rFonts w:hint="eastAsia" w:ascii="Times New Roman" w:hAnsi="Times New Roman" w:eastAsia="仿宋_GB2312"/>
                <w:kern w:val="0"/>
                <w:sz w:val="21"/>
                <w:szCs w:val="21"/>
                <w:highlight w:val="none"/>
                <w:lang w:val="en-US" w:eastAsia="zh-CN"/>
              </w:rPr>
            </w:pPr>
            <w:r>
              <w:rPr>
                <w:rFonts w:hint="eastAsia" w:ascii="Times New Roman" w:hAnsi="Times New Roman"/>
                <w:kern w:val="0"/>
                <w:sz w:val="21"/>
                <w:szCs w:val="21"/>
                <w:highlight w:val="none"/>
                <w:lang w:eastAsia="zh-CN"/>
              </w:rPr>
              <w:t>区委</w:t>
            </w:r>
            <w:r>
              <w:rPr>
                <w:rFonts w:hint="eastAsia" w:ascii="Times New Roman" w:hAnsi="Times New Roman"/>
                <w:kern w:val="0"/>
                <w:sz w:val="21"/>
                <w:szCs w:val="21"/>
                <w:highlight w:val="none"/>
                <w:lang w:val="en-US" w:eastAsia="zh-CN"/>
              </w:rPr>
              <w:t>2018年绩效评定 为一等。</w:t>
            </w:r>
          </w:p>
        </w:tc>
      </w:tr>
      <w:tr>
        <w:tblPrEx>
          <w:tblLayout w:type="fixed"/>
          <w:tblCellMar>
            <w:top w:w="0" w:type="dxa"/>
            <w:left w:w="108" w:type="dxa"/>
            <w:bottom w:w="0" w:type="dxa"/>
            <w:right w:w="108" w:type="dxa"/>
          </w:tblCellMar>
        </w:tblPrEx>
        <w:trPr>
          <w:trHeight w:val="1250" w:hRule="atLeast"/>
          <w:jc w:val="center"/>
        </w:trPr>
        <w:tc>
          <w:tcPr>
            <w:tcW w:w="648"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416"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673"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416"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p>
        </w:tc>
        <w:tc>
          <w:tcPr>
            <w:tcW w:w="1072"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社会公众或服务对象满意度</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highlight w:val="none"/>
              </w:rPr>
            </w:pPr>
            <w:r>
              <w:rPr>
                <w:rFonts w:ascii="Times New Roman" w:hAnsi="Times New Roman"/>
                <w:kern w:val="0"/>
                <w:sz w:val="20"/>
                <w:szCs w:val="20"/>
                <w:highlight w:val="none"/>
              </w:rPr>
              <w:t>6</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highlight w:val="none"/>
              </w:rPr>
            </w:pPr>
            <w:r>
              <w:rPr>
                <w:rFonts w:ascii="Times New Roman" w:hAnsi="Times New Roman"/>
                <w:kern w:val="0"/>
                <w:sz w:val="20"/>
                <w:szCs w:val="20"/>
                <w:highlight w:val="none"/>
              </w:rPr>
              <w:t>90%</w:t>
            </w:r>
            <w:r>
              <w:rPr>
                <w:rFonts w:hint="eastAsia" w:ascii="Times New Roman" w:hAnsi="Times New Roman"/>
                <w:kern w:val="0"/>
                <w:sz w:val="20"/>
                <w:szCs w:val="20"/>
                <w:highlight w:val="none"/>
              </w:rPr>
              <w:t>（含）以上计</w:t>
            </w:r>
            <w:r>
              <w:rPr>
                <w:rFonts w:ascii="Times New Roman" w:hAnsi="Times New Roman"/>
                <w:kern w:val="0"/>
                <w:sz w:val="20"/>
                <w:szCs w:val="20"/>
                <w:highlight w:val="none"/>
              </w:rPr>
              <w:t>6</w:t>
            </w:r>
            <w:r>
              <w:rPr>
                <w:rFonts w:hint="eastAsia" w:ascii="Times New Roman" w:hAnsi="Times New Roman"/>
                <w:kern w:val="0"/>
                <w:sz w:val="20"/>
                <w:szCs w:val="20"/>
                <w:highlight w:val="none"/>
              </w:rPr>
              <w:t>分；</w:t>
            </w:r>
          </w:p>
          <w:p>
            <w:pPr>
              <w:widowControl/>
              <w:spacing w:line="240" w:lineRule="exact"/>
              <w:jc w:val="left"/>
              <w:rPr>
                <w:rFonts w:ascii="Times New Roman" w:hAnsi="Times New Roman"/>
                <w:kern w:val="0"/>
                <w:sz w:val="20"/>
                <w:szCs w:val="20"/>
                <w:highlight w:val="none"/>
              </w:rPr>
            </w:pPr>
            <w:r>
              <w:rPr>
                <w:rFonts w:ascii="Times New Roman" w:hAnsi="Times New Roman"/>
                <w:kern w:val="0"/>
                <w:sz w:val="20"/>
                <w:szCs w:val="20"/>
                <w:highlight w:val="none"/>
              </w:rPr>
              <w:t>80%</w:t>
            </w:r>
            <w:r>
              <w:rPr>
                <w:rFonts w:hint="eastAsia" w:ascii="Times New Roman" w:hAnsi="Times New Roman"/>
                <w:kern w:val="0"/>
                <w:sz w:val="20"/>
                <w:szCs w:val="20"/>
                <w:highlight w:val="none"/>
              </w:rPr>
              <w:t>（含）</w:t>
            </w:r>
            <w:r>
              <w:rPr>
                <w:rFonts w:ascii="Times New Roman" w:hAnsi="Times New Roman"/>
                <w:kern w:val="0"/>
                <w:sz w:val="20"/>
                <w:szCs w:val="20"/>
                <w:highlight w:val="none"/>
              </w:rPr>
              <w:t>-90%</w:t>
            </w:r>
            <w:r>
              <w:rPr>
                <w:rFonts w:hint="eastAsia" w:ascii="Times New Roman" w:hAnsi="Times New Roman"/>
                <w:kern w:val="0"/>
                <w:sz w:val="20"/>
                <w:szCs w:val="20"/>
                <w:highlight w:val="none"/>
              </w:rPr>
              <w:t>，计</w:t>
            </w:r>
            <w:r>
              <w:rPr>
                <w:rFonts w:ascii="Times New Roman" w:hAnsi="Times New Roman"/>
                <w:kern w:val="0"/>
                <w:sz w:val="20"/>
                <w:szCs w:val="20"/>
                <w:highlight w:val="none"/>
              </w:rPr>
              <w:t>4</w:t>
            </w:r>
            <w:r>
              <w:rPr>
                <w:rFonts w:hint="eastAsia" w:ascii="Times New Roman" w:hAnsi="Times New Roman"/>
                <w:kern w:val="0"/>
                <w:sz w:val="20"/>
                <w:szCs w:val="20"/>
                <w:highlight w:val="none"/>
              </w:rPr>
              <w:t>分；</w:t>
            </w:r>
          </w:p>
          <w:p>
            <w:pPr>
              <w:widowControl/>
              <w:spacing w:line="240" w:lineRule="exact"/>
              <w:jc w:val="left"/>
              <w:rPr>
                <w:rFonts w:ascii="Times New Roman" w:hAnsi="Times New Roman"/>
                <w:kern w:val="0"/>
                <w:sz w:val="20"/>
                <w:szCs w:val="20"/>
                <w:highlight w:val="none"/>
              </w:rPr>
            </w:pPr>
            <w:r>
              <w:rPr>
                <w:rFonts w:ascii="Times New Roman" w:hAnsi="Times New Roman"/>
                <w:kern w:val="0"/>
                <w:sz w:val="20"/>
                <w:szCs w:val="20"/>
                <w:highlight w:val="none"/>
              </w:rPr>
              <w:t>70%</w:t>
            </w:r>
            <w:r>
              <w:rPr>
                <w:rFonts w:hint="eastAsia" w:ascii="Times New Roman" w:hAnsi="Times New Roman"/>
                <w:kern w:val="0"/>
                <w:sz w:val="20"/>
                <w:szCs w:val="20"/>
                <w:highlight w:val="none"/>
              </w:rPr>
              <w:t>（含）</w:t>
            </w:r>
            <w:r>
              <w:rPr>
                <w:rFonts w:ascii="Times New Roman" w:hAnsi="Times New Roman"/>
                <w:kern w:val="0"/>
                <w:sz w:val="20"/>
                <w:szCs w:val="20"/>
                <w:highlight w:val="none"/>
              </w:rPr>
              <w:t>-80%</w:t>
            </w:r>
            <w:r>
              <w:rPr>
                <w:rFonts w:hint="eastAsia" w:ascii="Times New Roman" w:hAnsi="Times New Roman"/>
                <w:kern w:val="0"/>
                <w:sz w:val="20"/>
                <w:szCs w:val="20"/>
                <w:highlight w:val="none"/>
              </w:rPr>
              <w:t>，计</w:t>
            </w:r>
            <w:r>
              <w:rPr>
                <w:rFonts w:ascii="Times New Roman" w:hAnsi="Times New Roman"/>
                <w:kern w:val="0"/>
                <w:sz w:val="20"/>
                <w:szCs w:val="20"/>
                <w:highlight w:val="none"/>
              </w:rPr>
              <w:t>2</w:t>
            </w:r>
            <w:r>
              <w:rPr>
                <w:rFonts w:hint="eastAsia" w:ascii="Times New Roman" w:hAnsi="Times New Roman"/>
                <w:kern w:val="0"/>
                <w:sz w:val="20"/>
                <w:szCs w:val="20"/>
                <w:highlight w:val="none"/>
              </w:rPr>
              <w:t>分；</w:t>
            </w:r>
          </w:p>
          <w:p>
            <w:pPr>
              <w:widowControl/>
              <w:spacing w:line="24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低于</w:t>
            </w:r>
            <w:r>
              <w:rPr>
                <w:rFonts w:ascii="Times New Roman" w:hAnsi="Times New Roman"/>
                <w:kern w:val="0"/>
                <w:sz w:val="20"/>
                <w:szCs w:val="20"/>
                <w:highlight w:val="none"/>
              </w:rPr>
              <w:t>70%</w:t>
            </w:r>
            <w:r>
              <w:rPr>
                <w:rFonts w:hint="eastAsia" w:ascii="Times New Roman" w:hAnsi="Times New Roman"/>
                <w:kern w:val="0"/>
                <w:sz w:val="20"/>
                <w:szCs w:val="20"/>
                <w:highlight w:val="none"/>
              </w:rPr>
              <w:t>计</w:t>
            </w:r>
            <w:r>
              <w:rPr>
                <w:rFonts w:ascii="Times New Roman" w:hAnsi="Times New Roman"/>
                <w:kern w:val="0"/>
                <w:sz w:val="20"/>
                <w:szCs w:val="20"/>
                <w:highlight w:val="none"/>
              </w:rPr>
              <w:t>0</w:t>
            </w:r>
            <w:r>
              <w:rPr>
                <w:rFonts w:hint="eastAsia" w:ascii="Times New Roman" w:hAnsi="Times New Roman"/>
                <w:kern w:val="0"/>
                <w:sz w:val="20"/>
                <w:szCs w:val="20"/>
                <w:highlight w:val="none"/>
              </w:rPr>
              <w:t>分。</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highlight w:val="none"/>
              </w:rPr>
            </w:pPr>
            <w:r>
              <w:rPr>
                <w:rFonts w:hint="eastAsia" w:ascii="Times New Roman" w:hAnsi="Times New Roman"/>
                <w:kern w:val="0"/>
                <w:sz w:val="20"/>
                <w:szCs w:val="20"/>
                <w:highlight w:val="none"/>
              </w:rPr>
              <w:t>社会公众或服务对象是指部门（单位）履行职责而影响到的部门、群体或个人，一般采取社会调查的方式。</w:t>
            </w:r>
          </w:p>
        </w:tc>
        <w:tc>
          <w:tcPr>
            <w:tcW w:w="637" w:type="dxa"/>
            <w:tcBorders>
              <w:top w:val="nil"/>
              <w:left w:val="nil"/>
              <w:bottom w:val="single" w:color="auto" w:sz="4" w:space="0"/>
              <w:right w:val="single" w:color="auto" w:sz="4" w:space="0"/>
            </w:tcBorders>
            <w:vAlign w:val="center"/>
          </w:tcPr>
          <w:p>
            <w:pPr>
              <w:widowControl/>
              <w:spacing w:line="230" w:lineRule="exact"/>
              <w:jc w:val="center"/>
              <w:rPr>
                <w:rFonts w:hint="eastAsia" w:ascii="Times New Roman" w:hAnsi="Times New Roman" w:eastAsia="仿宋_GB2312"/>
                <w:kern w:val="0"/>
                <w:sz w:val="24"/>
                <w:szCs w:val="24"/>
                <w:highlight w:val="none"/>
                <w:lang w:eastAsia="zh-CN"/>
              </w:rPr>
            </w:pPr>
            <w:r>
              <w:rPr>
                <w:rFonts w:hint="eastAsia"/>
                <w:kern w:val="0"/>
                <w:sz w:val="20"/>
                <w:szCs w:val="20"/>
                <w:highlight w:val="none"/>
                <w:lang w:val="en-US" w:eastAsia="zh-CN"/>
              </w:rPr>
              <w:t>6</w:t>
            </w:r>
          </w:p>
        </w:tc>
        <w:tc>
          <w:tcPr>
            <w:tcW w:w="769" w:type="dxa"/>
            <w:tcBorders>
              <w:top w:val="nil"/>
              <w:left w:val="nil"/>
              <w:bottom w:val="single" w:color="auto" w:sz="4" w:space="0"/>
              <w:right w:val="single" w:color="auto" w:sz="4" w:space="0"/>
            </w:tcBorders>
          </w:tcPr>
          <w:p>
            <w:pPr>
              <w:widowControl/>
              <w:spacing w:line="280" w:lineRule="exact"/>
              <w:jc w:val="center"/>
              <w:rPr>
                <w:rFonts w:hint="eastAsia" w:ascii="Times New Roman" w:hAnsi="Times New Roman" w:eastAsia="仿宋_GB2312"/>
                <w:kern w:val="0"/>
                <w:sz w:val="21"/>
                <w:szCs w:val="21"/>
                <w:highlight w:val="none"/>
                <w:lang w:eastAsia="zh-CN"/>
              </w:rPr>
            </w:pPr>
            <w:r>
              <w:rPr>
                <w:rFonts w:hint="eastAsia" w:ascii="Times New Roman" w:hAnsi="Times New Roman"/>
                <w:kern w:val="0"/>
                <w:sz w:val="21"/>
                <w:szCs w:val="21"/>
                <w:highlight w:val="none"/>
                <w:lang w:eastAsia="zh-CN"/>
              </w:rPr>
              <w:t>全年实现零投诉，无不良反响，观众满意度高。</w:t>
            </w:r>
          </w:p>
        </w:tc>
      </w:tr>
      <w:tr>
        <w:tblPrEx>
          <w:tblLayout w:type="fixed"/>
          <w:tblCellMar>
            <w:top w:w="0" w:type="dxa"/>
            <w:left w:w="108" w:type="dxa"/>
            <w:bottom w:w="0" w:type="dxa"/>
            <w:right w:w="108" w:type="dxa"/>
          </w:tblCellMar>
        </w:tblPrEx>
        <w:trPr>
          <w:trHeight w:val="1250" w:hRule="atLeast"/>
          <w:jc w:val="center"/>
        </w:trPr>
        <w:tc>
          <w:tcPr>
            <w:tcW w:w="648" w:type="dxa"/>
            <w:tcBorders>
              <w:top w:val="single" w:color="auto" w:sz="4" w:space="0"/>
              <w:left w:val="single" w:color="auto" w:sz="4" w:space="0"/>
              <w:bottom w:val="single" w:color="auto" w:sz="4" w:space="0"/>
              <w:right w:val="single" w:color="auto" w:sz="4" w:space="0"/>
            </w:tcBorders>
          </w:tcPr>
          <w:p>
            <w:pPr>
              <w:widowControl/>
              <w:spacing w:line="280" w:lineRule="exact"/>
              <w:jc w:val="left"/>
              <w:rPr>
                <w:rFonts w:ascii="Times New Roman" w:hAnsi="Times New Roman"/>
                <w:kern w:val="0"/>
                <w:sz w:val="20"/>
                <w:szCs w:val="20"/>
                <w:highlight w:val="none"/>
              </w:rPr>
            </w:pPr>
          </w:p>
        </w:tc>
        <w:tc>
          <w:tcPr>
            <w:tcW w:w="416" w:type="dxa"/>
            <w:tcBorders>
              <w:top w:val="single" w:color="auto" w:sz="4" w:space="0"/>
              <w:left w:val="single" w:color="auto" w:sz="4" w:space="0"/>
              <w:bottom w:val="single" w:color="auto" w:sz="4" w:space="0"/>
              <w:right w:val="single" w:color="auto" w:sz="4" w:space="0"/>
            </w:tcBorders>
          </w:tcPr>
          <w:p>
            <w:pPr>
              <w:widowControl/>
              <w:spacing w:line="280" w:lineRule="exact"/>
              <w:jc w:val="left"/>
              <w:rPr>
                <w:rFonts w:ascii="Times New Roman" w:hAnsi="Times New Roman"/>
                <w:kern w:val="0"/>
                <w:sz w:val="20"/>
                <w:szCs w:val="20"/>
                <w:highlight w:val="none"/>
              </w:rPr>
            </w:pPr>
          </w:p>
        </w:tc>
        <w:tc>
          <w:tcPr>
            <w:tcW w:w="673" w:type="dxa"/>
            <w:tcBorders>
              <w:top w:val="single" w:color="auto" w:sz="4" w:space="0"/>
              <w:left w:val="single" w:color="auto" w:sz="4" w:space="0"/>
              <w:bottom w:val="single" w:color="auto" w:sz="4" w:space="0"/>
              <w:right w:val="single" w:color="auto" w:sz="4" w:space="0"/>
            </w:tcBorders>
          </w:tcPr>
          <w:p>
            <w:pPr>
              <w:widowControl/>
              <w:spacing w:line="280" w:lineRule="exact"/>
              <w:jc w:val="left"/>
              <w:rPr>
                <w:rFonts w:ascii="Times New Roman" w:hAnsi="Times New Roman"/>
                <w:kern w:val="0"/>
                <w:sz w:val="20"/>
                <w:szCs w:val="20"/>
                <w:highlight w:val="none"/>
              </w:rPr>
            </w:pPr>
          </w:p>
        </w:tc>
        <w:tc>
          <w:tcPr>
            <w:tcW w:w="416" w:type="dxa"/>
            <w:tcBorders>
              <w:top w:val="single" w:color="auto" w:sz="4" w:space="0"/>
              <w:left w:val="single" w:color="auto" w:sz="4" w:space="0"/>
              <w:bottom w:val="single" w:color="auto" w:sz="4" w:space="0"/>
              <w:right w:val="single" w:color="auto" w:sz="4" w:space="0"/>
            </w:tcBorders>
          </w:tcPr>
          <w:p>
            <w:pPr>
              <w:widowControl/>
              <w:spacing w:line="280" w:lineRule="exact"/>
              <w:jc w:val="left"/>
              <w:rPr>
                <w:rFonts w:ascii="Times New Roman" w:hAnsi="Times New Roman"/>
                <w:kern w:val="0"/>
                <w:sz w:val="20"/>
                <w:szCs w:val="20"/>
                <w:highlight w:val="none"/>
              </w:rPr>
            </w:pPr>
          </w:p>
        </w:tc>
        <w:tc>
          <w:tcPr>
            <w:tcW w:w="1072" w:type="dxa"/>
            <w:tcBorders>
              <w:top w:val="single" w:color="auto" w:sz="4" w:space="0"/>
              <w:left w:val="single" w:color="auto" w:sz="4" w:space="0"/>
              <w:bottom w:val="single" w:color="auto" w:sz="4" w:space="0"/>
              <w:right w:val="single" w:color="auto" w:sz="4" w:space="0"/>
            </w:tcBorders>
          </w:tcPr>
          <w:p>
            <w:pPr>
              <w:widowControl/>
              <w:spacing w:line="280" w:lineRule="exact"/>
              <w:jc w:val="left"/>
              <w:rPr>
                <w:rFonts w:ascii="Times New Roman" w:hAnsi="Times New Roman"/>
                <w:kern w:val="0"/>
                <w:sz w:val="20"/>
                <w:szCs w:val="20"/>
                <w:highlight w:val="none"/>
              </w:rPr>
            </w:pPr>
          </w:p>
        </w:tc>
        <w:tc>
          <w:tcPr>
            <w:tcW w:w="416" w:type="dxa"/>
            <w:tcBorders>
              <w:top w:val="single" w:color="auto" w:sz="4" w:space="0"/>
              <w:left w:val="single" w:color="auto" w:sz="4" w:space="0"/>
              <w:bottom w:val="single" w:color="auto" w:sz="4" w:space="0"/>
              <w:right w:val="single" w:color="auto" w:sz="4" w:space="0"/>
            </w:tcBorders>
          </w:tcPr>
          <w:p>
            <w:pPr>
              <w:widowControl/>
              <w:spacing w:line="280" w:lineRule="exact"/>
              <w:jc w:val="center"/>
              <w:rPr>
                <w:rFonts w:ascii="Times New Roman" w:hAnsi="Times New Roman"/>
                <w:kern w:val="0"/>
                <w:sz w:val="20"/>
                <w:szCs w:val="20"/>
                <w:highlight w:val="none"/>
              </w:rPr>
            </w:pPr>
          </w:p>
        </w:tc>
        <w:tc>
          <w:tcPr>
            <w:tcW w:w="2324" w:type="dxa"/>
            <w:tcBorders>
              <w:top w:val="single" w:color="auto" w:sz="4" w:space="0"/>
              <w:left w:val="single" w:color="auto" w:sz="4" w:space="0"/>
              <w:bottom w:val="single" w:color="auto" w:sz="4" w:space="0"/>
              <w:right w:val="single" w:color="auto" w:sz="4" w:space="0"/>
            </w:tcBorders>
          </w:tcPr>
          <w:p>
            <w:pPr>
              <w:widowControl/>
              <w:spacing w:line="240" w:lineRule="exact"/>
              <w:jc w:val="left"/>
              <w:rPr>
                <w:rFonts w:ascii="Times New Roman" w:hAnsi="Times New Roman"/>
                <w:kern w:val="0"/>
                <w:sz w:val="20"/>
                <w:szCs w:val="20"/>
                <w:highlight w:val="none"/>
              </w:rPr>
            </w:pPr>
          </w:p>
        </w:tc>
        <w:tc>
          <w:tcPr>
            <w:tcW w:w="3153" w:type="dxa"/>
            <w:tcBorders>
              <w:top w:val="single" w:color="auto" w:sz="4" w:space="0"/>
              <w:left w:val="single" w:color="auto" w:sz="4" w:space="0"/>
              <w:bottom w:val="single" w:color="auto" w:sz="4" w:space="0"/>
              <w:right w:val="single" w:color="auto" w:sz="4" w:space="0"/>
            </w:tcBorders>
          </w:tcPr>
          <w:p>
            <w:pPr>
              <w:widowControl/>
              <w:spacing w:line="280" w:lineRule="exact"/>
              <w:jc w:val="left"/>
              <w:rPr>
                <w:rFonts w:ascii="Times New Roman" w:hAnsi="Times New Roman"/>
                <w:kern w:val="0"/>
                <w:sz w:val="20"/>
                <w:szCs w:val="20"/>
                <w:highlight w:val="none"/>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spacing w:line="230" w:lineRule="exact"/>
              <w:jc w:val="center"/>
              <w:rPr>
                <w:rFonts w:hint="eastAsia" w:ascii="Times New Roman" w:hAnsi="Times New Roman" w:eastAsia="仿宋_GB2312"/>
                <w:kern w:val="0"/>
                <w:sz w:val="24"/>
                <w:szCs w:val="24"/>
                <w:highlight w:val="none"/>
                <w:lang w:val="en-US" w:eastAsia="zh-CN"/>
              </w:rPr>
            </w:pPr>
            <w:r>
              <w:rPr>
                <w:rFonts w:hint="eastAsia" w:ascii="Times New Roman" w:hAnsi="Times New Roman"/>
                <w:kern w:val="0"/>
                <w:sz w:val="24"/>
                <w:szCs w:val="24"/>
                <w:highlight w:val="none"/>
                <w:lang w:val="en-US" w:eastAsia="zh-CN"/>
              </w:rPr>
              <w:t>95</w:t>
            </w:r>
          </w:p>
        </w:tc>
        <w:tc>
          <w:tcPr>
            <w:tcW w:w="769"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highlight w:val="none"/>
              </w:rPr>
            </w:pPr>
          </w:p>
        </w:tc>
      </w:tr>
      <w:tr>
        <w:tblPrEx>
          <w:tblLayout w:type="fixed"/>
          <w:tblCellMar>
            <w:top w:w="0" w:type="dxa"/>
            <w:left w:w="108" w:type="dxa"/>
            <w:bottom w:w="0" w:type="dxa"/>
            <w:right w:w="108" w:type="dxa"/>
          </w:tblCellMar>
        </w:tblPrEx>
        <w:trPr>
          <w:trHeight w:val="1250" w:hRule="atLeast"/>
          <w:jc w:val="center"/>
        </w:trPr>
        <w:tc>
          <w:tcPr>
            <w:tcW w:w="648" w:type="dxa"/>
            <w:tcBorders>
              <w:top w:val="single" w:color="auto" w:sz="4" w:space="0"/>
            </w:tcBorders>
          </w:tcPr>
          <w:p>
            <w:pPr>
              <w:widowControl/>
              <w:spacing w:line="280" w:lineRule="exact"/>
              <w:jc w:val="left"/>
              <w:rPr>
                <w:rFonts w:ascii="Times New Roman" w:hAnsi="Times New Roman"/>
                <w:kern w:val="0"/>
                <w:sz w:val="20"/>
                <w:szCs w:val="20"/>
                <w:highlight w:val="none"/>
              </w:rPr>
            </w:pPr>
          </w:p>
        </w:tc>
        <w:tc>
          <w:tcPr>
            <w:tcW w:w="416" w:type="dxa"/>
            <w:tcBorders>
              <w:top w:val="single" w:color="auto" w:sz="4" w:space="0"/>
            </w:tcBorders>
          </w:tcPr>
          <w:p>
            <w:pPr>
              <w:widowControl/>
              <w:spacing w:line="280" w:lineRule="exact"/>
              <w:jc w:val="left"/>
              <w:rPr>
                <w:rFonts w:ascii="Times New Roman" w:hAnsi="Times New Roman"/>
                <w:kern w:val="0"/>
                <w:sz w:val="20"/>
                <w:szCs w:val="20"/>
                <w:highlight w:val="none"/>
              </w:rPr>
            </w:pPr>
          </w:p>
        </w:tc>
        <w:tc>
          <w:tcPr>
            <w:tcW w:w="673" w:type="dxa"/>
            <w:tcBorders>
              <w:top w:val="single" w:color="auto" w:sz="4" w:space="0"/>
            </w:tcBorders>
          </w:tcPr>
          <w:p>
            <w:pPr>
              <w:widowControl/>
              <w:spacing w:line="280" w:lineRule="exact"/>
              <w:jc w:val="left"/>
              <w:rPr>
                <w:rFonts w:ascii="Times New Roman" w:hAnsi="Times New Roman"/>
                <w:kern w:val="0"/>
                <w:sz w:val="20"/>
                <w:szCs w:val="20"/>
                <w:highlight w:val="none"/>
              </w:rPr>
            </w:pPr>
          </w:p>
        </w:tc>
        <w:tc>
          <w:tcPr>
            <w:tcW w:w="416" w:type="dxa"/>
            <w:tcBorders>
              <w:top w:val="single" w:color="auto" w:sz="4" w:space="0"/>
            </w:tcBorders>
          </w:tcPr>
          <w:p>
            <w:pPr>
              <w:widowControl/>
              <w:spacing w:line="280" w:lineRule="exact"/>
              <w:jc w:val="left"/>
              <w:rPr>
                <w:rFonts w:ascii="Times New Roman" w:hAnsi="Times New Roman"/>
                <w:kern w:val="0"/>
                <w:sz w:val="20"/>
                <w:szCs w:val="20"/>
                <w:highlight w:val="none"/>
              </w:rPr>
            </w:pPr>
          </w:p>
        </w:tc>
        <w:tc>
          <w:tcPr>
            <w:tcW w:w="1072" w:type="dxa"/>
            <w:tcBorders>
              <w:top w:val="single" w:color="auto" w:sz="4" w:space="0"/>
            </w:tcBorders>
          </w:tcPr>
          <w:p>
            <w:pPr>
              <w:widowControl/>
              <w:spacing w:line="280" w:lineRule="exact"/>
              <w:jc w:val="left"/>
              <w:rPr>
                <w:rFonts w:ascii="Times New Roman" w:hAnsi="Times New Roman"/>
                <w:kern w:val="0"/>
                <w:sz w:val="20"/>
                <w:szCs w:val="20"/>
                <w:highlight w:val="none"/>
              </w:rPr>
            </w:pPr>
          </w:p>
        </w:tc>
        <w:tc>
          <w:tcPr>
            <w:tcW w:w="416" w:type="dxa"/>
            <w:tcBorders>
              <w:top w:val="single" w:color="auto" w:sz="4" w:space="0"/>
            </w:tcBorders>
          </w:tcPr>
          <w:p>
            <w:pPr>
              <w:widowControl/>
              <w:spacing w:line="280" w:lineRule="exact"/>
              <w:jc w:val="center"/>
              <w:rPr>
                <w:rFonts w:ascii="Times New Roman" w:hAnsi="Times New Roman"/>
                <w:kern w:val="0"/>
                <w:sz w:val="20"/>
                <w:szCs w:val="20"/>
                <w:highlight w:val="none"/>
              </w:rPr>
            </w:pPr>
          </w:p>
        </w:tc>
        <w:tc>
          <w:tcPr>
            <w:tcW w:w="2324" w:type="dxa"/>
            <w:tcBorders>
              <w:top w:val="single" w:color="auto" w:sz="4" w:space="0"/>
            </w:tcBorders>
          </w:tcPr>
          <w:p>
            <w:pPr>
              <w:widowControl/>
              <w:spacing w:line="240" w:lineRule="exact"/>
              <w:jc w:val="left"/>
              <w:rPr>
                <w:rFonts w:ascii="Times New Roman" w:hAnsi="Times New Roman"/>
                <w:kern w:val="0"/>
                <w:sz w:val="20"/>
                <w:szCs w:val="20"/>
                <w:highlight w:val="none"/>
              </w:rPr>
            </w:pPr>
          </w:p>
        </w:tc>
        <w:tc>
          <w:tcPr>
            <w:tcW w:w="3153" w:type="dxa"/>
            <w:tcBorders>
              <w:top w:val="single" w:color="auto" w:sz="4" w:space="0"/>
            </w:tcBorders>
          </w:tcPr>
          <w:p>
            <w:pPr>
              <w:widowControl/>
              <w:spacing w:line="280" w:lineRule="exact"/>
              <w:jc w:val="left"/>
              <w:rPr>
                <w:rFonts w:ascii="Times New Roman" w:hAnsi="Times New Roman"/>
                <w:kern w:val="0"/>
                <w:sz w:val="20"/>
                <w:szCs w:val="20"/>
                <w:highlight w:val="none"/>
              </w:rPr>
            </w:pPr>
          </w:p>
        </w:tc>
        <w:tc>
          <w:tcPr>
            <w:tcW w:w="637" w:type="dxa"/>
            <w:tcBorders>
              <w:top w:val="single" w:color="auto" w:sz="4" w:space="0"/>
            </w:tcBorders>
            <w:vAlign w:val="top"/>
          </w:tcPr>
          <w:p>
            <w:pPr>
              <w:widowControl/>
              <w:spacing w:line="230" w:lineRule="exact"/>
              <w:jc w:val="left"/>
              <w:rPr>
                <w:rFonts w:ascii="Times New Roman" w:hAnsi="Times New Roman"/>
                <w:kern w:val="0"/>
                <w:sz w:val="24"/>
                <w:szCs w:val="24"/>
                <w:highlight w:val="none"/>
              </w:rPr>
            </w:pPr>
          </w:p>
        </w:tc>
        <w:tc>
          <w:tcPr>
            <w:tcW w:w="769" w:type="dxa"/>
            <w:tcBorders>
              <w:top w:val="single" w:color="auto" w:sz="4" w:space="0"/>
            </w:tcBorders>
          </w:tcPr>
          <w:p>
            <w:pPr>
              <w:widowControl/>
              <w:spacing w:line="280" w:lineRule="exact"/>
              <w:jc w:val="left"/>
              <w:rPr>
                <w:rFonts w:ascii="Times New Roman" w:hAnsi="Times New Roman"/>
                <w:kern w:val="0"/>
                <w:sz w:val="24"/>
                <w:szCs w:val="24"/>
                <w:highlight w:val="none"/>
              </w:rPr>
            </w:pPr>
          </w:p>
        </w:tc>
      </w:tr>
      <w:tr>
        <w:tblPrEx>
          <w:tblLayout w:type="fixed"/>
          <w:tblCellMar>
            <w:top w:w="0" w:type="dxa"/>
            <w:left w:w="108" w:type="dxa"/>
            <w:bottom w:w="0" w:type="dxa"/>
            <w:right w:w="108" w:type="dxa"/>
          </w:tblCellMar>
        </w:tblPrEx>
        <w:trPr>
          <w:trHeight w:val="1250" w:hRule="atLeast"/>
          <w:jc w:val="center"/>
        </w:trPr>
        <w:tc>
          <w:tcPr>
            <w:tcW w:w="648" w:type="dxa"/>
          </w:tcPr>
          <w:p>
            <w:pPr>
              <w:widowControl/>
              <w:spacing w:line="280" w:lineRule="exact"/>
              <w:jc w:val="left"/>
              <w:rPr>
                <w:rFonts w:ascii="Times New Roman" w:hAnsi="Times New Roman"/>
                <w:kern w:val="0"/>
                <w:sz w:val="20"/>
                <w:szCs w:val="20"/>
                <w:highlight w:val="none"/>
              </w:rPr>
            </w:pPr>
          </w:p>
        </w:tc>
        <w:tc>
          <w:tcPr>
            <w:tcW w:w="416" w:type="dxa"/>
          </w:tcPr>
          <w:p>
            <w:pPr>
              <w:widowControl/>
              <w:spacing w:line="280" w:lineRule="exact"/>
              <w:jc w:val="left"/>
              <w:rPr>
                <w:rFonts w:ascii="Times New Roman" w:hAnsi="Times New Roman"/>
                <w:kern w:val="0"/>
                <w:sz w:val="20"/>
                <w:szCs w:val="20"/>
                <w:highlight w:val="none"/>
              </w:rPr>
            </w:pPr>
          </w:p>
        </w:tc>
        <w:tc>
          <w:tcPr>
            <w:tcW w:w="673" w:type="dxa"/>
          </w:tcPr>
          <w:p>
            <w:pPr>
              <w:widowControl/>
              <w:spacing w:line="280" w:lineRule="exact"/>
              <w:jc w:val="left"/>
              <w:rPr>
                <w:rFonts w:ascii="Times New Roman" w:hAnsi="Times New Roman"/>
                <w:kern w:val="0"/>
                <w:sz w:val="20"/>
                <w:szCs w:val="20"/>
                <w:highlight w:val="none"/>
              </w:rPr>
            </w:pPr>
          </w:p>
        </w:tc>
        <w:tc>
          <w:tcPr>
            <w:tcW w:w="416" w:type="dxa"/>
          </w:tcPr>
          <w:p>
            <w:pPr>
              <w:widowControl/>
              <w:spacing w:line="280" w:lineRule="exact"/>
              <w:jc w:val="left"/>
              <w:rPr>
                <w:rFonts w:ascii="Times New Roman" w:hAnsi="Times New Roman"/>
                <w:kern w:val="0"/>
                <w:sz w:val="20"/>
                <w:szCs w:val="20"/>
                <w:highlight w:val="none"/>
              </w:rPr>
            </w:pPr>
          </w:p>
        </w:tc>
        <w:tc>
          <w:tcPr>
            <w:tcW w:w="1072" w:type="dxa"/>
          </w:tcPr>
          <w:p>
            <w:pPr>
              <w:widowControl/>
              <w:spacing w:line="280" w:lineRule="exact"/>
              <w:jc w:val="left"/>
              <w:rPr>
                <w:rFonts w:ascii="Times New Roman" w:hAnsi="Times New Roman"/>
                <w:kern w:val="0"/>
                <w:sz w:val="20"/>
                <w:szCs w:val="20"/>
                <w:highlight w:val="none"/>
              </w:rPr>
            </w:pPr>
          </w:p>
        </w:tc>
        <w:tc>
          <w:tcPr>
            <w:tcW w:w="416" w:type="dxa"/>
          </w:tcPr>
          <w:p>
            <w:pPr>
              <w:widowControl/>
              <w:spacing w:line="280" w:lineRule="exact"/>
              <w:jc w:val="center"/>
              <w:rPr>
                <w:rFonts w:ascii="Times New Roman" w:hAnsi="Times New Roman"/>
                <w:kern w:val="0"/>
                <w:sz w:val="20"/>
                <w:szCs w:val="20"/>
                <w:highlight w:val="none"/>
              </w:rPr>
            </w:pPr>
          </w:p>
        </w:tc>
        <w:tc>
          <w:tcPr>
            <w:tcW w:w="2324" w:type="dxa"/>
          </w:tcPr>
          <w:p>
            <w:pPr>
              <w:widowControl/>
              <w:spacing w:line="240" w:lineRule="exact"/>
              <w:jc w:val="left"/>
              <w:rPr>
                <w:rFonts w:ascii="Times New Roman" w:hAnsi="Times New Roman"/>
                <w:kern w:val="0"/>
                <w:sz w:val="20"/>
                <w:szCs w:val="20"/>
                <w:highlight w:val="none"/>
              </w:rPr>
            </w:pPr>
          </w:p>
        </w:tc>
        <w:tc>
          <w:tcPr>
            <w:tcW w:w="3153" w:type="dxa"/>
          </w:tcPr>
          <w:p>
            <w:pPr>
              <w:widowControl/>
              <w:spacing w:line="280" w:lineRule="exact"/>
              <w:jc w:val="left"/>
              <w:rPr>
                <w:rFonts w:ascii="Times New Roman" w:hAnsi="Times New Roman"/>
                <w:kern w:val="0"/>
                <w:sz w:val="20"/>
                <w:szCs w:val="20"/>
                <w:highlight w:val="none"/>
              </w:rPr>
            </w:pPr>
          </w:p>
        </w:tc>
        <w:tc>
          <w:tcPr>
            <w:tcW w:w="637" w:type="dxa"/>
            <w:vAlign w:val="top"/>
          </w:tcPr>
          <w:p>
            <w:pPr>
              <w:widowControl/>
              <w:spacing w:line="230" w:lineRule="exact"/>
              <w:jc w:val="left"/>
              <w:rPr>
                <w:rFonts w:ascii="Times New Roman" w:hAnsi="Times New Roman"/>
                <w:kern w:val="0"/>
                <w:sz w:val="24"/>
                <w:szCs w:val="24"/>
                <w:highlight w:val="none"/>
              </w:rPr>
            </w:pPr>
          </w:p>
        </w:tc>
        <w:tc>
          <w:tcPr>
            <w:tcW w:w="769" w:type="dxa"/>
          </w:tcPr>
          <w:p>
            <w:pPr>
              <w:widowControl/>
              <w:spacing w:line="280" w:lineRule="exact"/>
              <w:jc w:val="left"/>
              <w:rPr>
                <w:rFonts w:ascii="Times New Roman" w:hAnsi="Times New Roman"/>
                <w:kern w:val="0"/>
                <w:sz w:val="24"/>
                <w:szCs w:val="24"/>
                <w:highlight w:val="none"/>
              </w:rPr>
            </w:pPr>
          </w:p>
        </w:tc>
      </w:tr>
      <w:tr>
        <w:tblPrEx>
          <w:tblLayout w:type="fixed"/>
          <w:tblCellMar>
            <w:top w:w="0" w:type="dxa"/>
            <w:left w:w="108" w:type="dxa"/>
            <w:bottom w:w="0" w:type="dxa"/>
            <w:right w:w="108" w:type="dxa"/>
          </w:tblCellMar>
        </w:tblPrEx>
        <w:trPr>
          <w:trHeight w:val="1250" w:hRule="atLeast"/>
          <w:jc w:val="center"/>
        </w:trPr>
        <w:tc>
          <w:tcPr>
            <w:tcW w:w="648" w:type="dxa"/>
          </w:tcPr>
          <w:p>
            <w:pPr>
              <w:widowControl/>
              <w:spacing w:line="280" w:lineRule="exact"/>
              <w:jc w:val="left"/>
              <w:rPr>
                <w:rFonts w:ascii="Times New Roman" w:hAnsi="Times New Roman"/>
                <w:kern w:val="0"/>
                <w:sz w:val="20"/>
                <w:szCs w:val="20"/>
                <w:highlight w:val="none"/>
              </w:rPr>
            </w:pPr>
          </w:p>
        </w:tc>
        <w:tc>
          <w:tcPr>
            <w:tcW w:w="416" w:type="dxa"/>
          </w:tcPr>
          <w:p>
            <w:pPr>
              <w:widowControl/>
              <w:spacing w:line="280" w:lineRule="exact"/>
              <w:jc w:val="left"/>
              <w:rPr>
                <w:rFonts w:ascii="Times New Roman" w:hAnsi="Times New Roman"/>
                <w:kern w:val="0"/>
                <w:sz w:val="20"/>
                <w:szCs w:val="20"/>
                <w:highlight w:val="none"/>
              </w:rPr>
            </w:pPr>
          </w:p>
        </w:tc>
        <w:tc>
          <w:tcPr>
            <w:tcW w:w="673" w:type="dxa"/>
          </w:tcPr>
          <w:p>
            <w:pPr>
              <w:widowControl/>
              <w:spacing w:line="280" w:lineRule="exact"/>
              <w:jc w:val="left"/>
              <w:rPr>
                <w:rFonts w:ascii="Times New Roman" w:hAnsi="Times New Roman"/>
                <w:kern w:val="0"/>
                <w:sz w:val="20"/>
                <w:szCs w:val="20"/>
                <w:highlight w:val="none"/>
              </w:rPr>
            </w:pPr>
          </w:p>
        </w:tc>
        <w:tc>
          <w:tcPr>
            <w:tcW w:w="416" w:type="dxa"/>
          </w:tcPr>
          <w:p>
            <w:pPr>
              <w:widowControl/>
              <w:spacing w:line="280" w:lineRule="exact"/>
              <w:jc w:val="left"/>
              <w:rPr>
                <w:rFonts w:ascii="Times New Roman" w:hAnsi="Times New Roman"/>
                <w:kern w:val="0"/>
                <w:sz w:val="20"/>
                <w:szCs w:val="20"/>
                <w:highlight w:val="none"/>
              </w:rPr>
            </w:pPr>
          </w:p>
        </w:tc>
        <w:tc>
          <w:tcPr>
            <w:tcW w:w="1072" w:type="dxa"/>
          </w:tcPr>
          <w:p>
            <w:pPr>
              <w:widowControl/>
              <w:spacing w:line="280" w:lineRule="exact"/>
              <w:jc w:val="left"/>
              <w:rPr>
                <w:rFonts w:ascii="Times New Roman" w:hAnsi="Times New Roman"/>
                <w:kern w:val="0"/>
                <w:sz w:val="20"/>
                <w:szCs w:val="20"/>
                <w:highlight w:val="none"/>
              </w:rPr>
            </w:pPr>
          </w:p>
        </w:tc>
        <w:tc>
          <w:tcPr>
            <w:tcW w:w="416" w:type="dxa"/>
          </w:tcPr>
          <w:p>
            <w:pPr>
              <w:widowControl/>
              <w:spacing w:line="280" w:lineRule="exact"/>
              <w:jc w:val="center"/>
              <w:rPr>
                <w:rFonts w:ascii="Times New Roman" w:hAnsi="Times New Roman"/>
                <w:kern w:val="0"/>
                <w:sz w:val="20"/>
                <w:szCs w:val="20"/>
                <w:highlight w:val="none"/>
              </w:rPr>
            </w:pPr>
          </w:p>
        </w:tc>
        <w:tc>
          <w:tcPr>
            <w:tcW w:w="2324" w:type="dxa"/>
          </w:tcPr>
          <w:p>
            <w:pPr>
              <w:widowControl/>
              <w:spacing w:line="240" w:lineRule="exact"/>
              <w:jc w:val="left"/>
              <w:rPr>
                <w:rFonts w:ascii="Times New Roman" w:hAnsi="Times New Roman"/>
                <w:kern w:val="0"/>
                <w:sz w:val="20"/>
                <w:szCs w:val="20"/>
                <w:highlight w:val="none"/>
              </w:rPr>
            </w:pPr>
          </w:p>
        </w:tc>
        <w:tc>
          <w:tcPr>
            <w:tcW w:w="3153" w:type="dxa"/>
          </w:tcPr>
          <w:p>
            <w:pPr>
              <w:widowControl/>
              <w:spacing w:line="280" w:lineRule="exact"/>
              <w:jc w:val="left"/>
              <w:rPr>
                <w:rFonts w:ascii="Times New Roman" w:hAnsi="Times New Roman"/>
                <w:kern w:val="0"/>
                <w:sz w:val="20"/>
                <w:szCs w:val="20"/>
                <w:highlight w:val="none"/>
              </w:rPr>
            </w:pPr>
          </w:p>
        </w:tc>
        <w:tc>
          <w:tcPr>
            <w:tcW w:w="637" w:type="dxa"/>
            <w:vAlign w:val="top"/>
          </w:tcPr>
          <w:p>
            <w:pPr>
              <w:widowControl/>
              <w:spacing w:line="230" w:lineRule="exact"/>
              <w:rPr>
                <w:rFonts w:ascii="Times New Roman" w:hAnsi="Times New Roman"/>
                <w:kern w:val="0"/>
                <w:sz w:val="24"/>
                <w:szCs w:val="24"/>
                <w:highlight w:val="none"/>
              </w:rPr>
            </w:pPr>
          </w:p>
        </w:tc>
        <w:tc>
          <w:tcPr>
            <w:tcW w:w="769" w:type="dxa"/>
          </w:tcPr>
          <w:p>
            <w:pPr>
              <w:widowControl/>
              <w:spacing w:line="280" w:lineRule="exact"/>
              <w:jc w:val="left"/>
              <w:rPr>
                <w:rFonts w:ascii="Times New Roman" w:hAnsi="Times New Roman"/>
                <w:kern w:val="0"/>
                <w:sz w:val="24"/>
                <w:szCs w:val="24"/>
                <w:highlight w:val="none"/>
              </w:rPr>
            </w:pPr>
          </w:p>
        </w:tc>
      </w:tr>
    </w:tbl>
    <w:p>
      <w:pPr>
        <w:spacing w:line="600" w:lineRule="exact"/>
        <w:rPr>
          <w:rFonts w:ascii="Times New Roman" w:hAnsi="Times New Roman"/>
        </w:rPr>
      </w:pPr>
    </w:p>
    <w:p>
      <w:pPr>
        <w:spacing w:line="600" w:lineRule="exact"/>
        <w:rPr>
          <w:rFonts w:ascii="Times New Roman" w:hAnsi="Times New Roman" w:eastAsia="楷体_GB2312"/>
        </w:rPr>
        <w:sectPr>
          <w:footerReference r:id="rId5" w:type="first"/>
          <w:footerReference r:id="rId3" w:type="default"/>
          <w:footerReference r:id="rId4" w:type="even"/>
          <w:pgSz w:w="11906" w:h="16838"/>
          <w:pgMar w:top="1701" w:right="1587" w:bottom="1417" w:left="1701" w:header="851" w:footer="992" w:gutter="0"/>
          <w:pgNumType w:fmt="numberInDash"/>
          <w:cols w:space="720" w:num="1"/>
          <w:docGrid w:type="lines" w:linePitch="312" w:charSpace="0"/>
        </w:sectPr>
      </w:pPr>
    </w:p>
    <w:p>
      <w:pPr>
        <w:spacing w:line="600" w:lineRule="exact"/>
        <w:rPr>
          <w:rFonts w:ascii="Times New Roman" w:hAnsi="Times New Roman"/>
        </w:rPr>
      </w:pPr>
    </w:p>
    <w:sectPr>
      <w:pgSz w:w="11906" w:h="16838"/>
      <w:pgMar w:top="1701" w:right="1587" w:bottom="1417" w:left="170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docPartObj>
        <w:docPartGallery w:val="autotext"/>
      </w:docPartObj>
    </w:sdtPr>
    <w:sdtContent>
      <w:p>
        <w:pPr>
          <w:pStyle w:val="4"/>
          <w:jc w:val="right"/>
        </w:pPr>
        <w:r>
          <w:fldChar w:fldCharType="begin"/>
        </w:r>
        <w:r>
          <w:instrText xml:space="preserve">PAGE   \* MERGEFORMAT</w:instrText>
        </w:r>
        <w:r>
          <w:fldChar w:fldCharType="separate"/>
        </w:r>
        <w:r>
          <w:rPr>
            <w:lang w:val="zh-CN"/>
          </w:rPr>
          <w:t>-</w:t>
        </w:r>
        <w:r>
          <w:t xml:space="preserve"> 17 -</w:t>
        </w:r>
        <w:r>
          <w:fldChar w:fldCharType="end"/>
        </w:r>
      </w:p>
    </w:sdtContent>
  </w:sdt>
  <w:p>
    <w:pPr>
      <w:pStyle w:val="4"/>
      <w:ind w:right="9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0954067"/>
      <w:docPartObj>
        <w:docPartGallery w:val="autotext"/>
      </w:docPartObj>
    </w:sdtPr>
    <w:sdtContent>
      <w:p>
        <w:pPr>
          <w:pStyle w:val="4"/>
        </w:pPr>
        <w:r>
          <w:fldChar w:fldCharType="begin"/>
        </w:r>
        <w:r>
          <w:instrText xml:space="preserve">PAGE   \* MERGEFORMAT</w:instrText>
        </w:r>
        <w:r>
          <w:fldChar w:fldCharType="separate"/>
        </w:r>
        <w:r>
          <w:rPr>
            <w:lang w:val="zh-CN"/>
          </w:rPr>
          <w:t>-</w:t>
        </w:r>
        <w:r>
          <w:t xml:space="preserve"> 14 -</w:t>
        </w:r>
        <w:r>
          <w:fldChar w:fldCharType="end"/>
        </w:r>
      </w:p>
    </w:sdtContent>
  </w:sdt>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w:rPr>
        <w:rFonts w:hint="eastAsia"/>
      </w:rPr>
      <w:t>15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17EBD"/>
    <w:rsid w:val="00050733"/>
    <w:rsid w:val="00057A74"/>
    <w:rsid w:val="00064467"/>
    <w:rsid w:val="0007763D"/>
    <w:rsid w:val="0008243B"/>
    <w:rsid w:val="000877BF"/>
    <w:rsid w:val="00091E7B"/>
    <w:rsid w:val="000D230F"/>
    <w:rsid w:val="000E20BF"/>
    <w:rsid w:val="00106906"/>
    <w:rsid w:val="00111454"/>
    <w:rsid w:val="0016305B"/>
    <w:rsid w:val="00170D2C"/>
    <w:rsid w:val="00190E73"/>
    <w:rsid w:val="001918FE"/>
    <w:rsid w:val="001A2888"/>
    <w:rsid w:val="001B67CB"/>
    <w:rsid w:val="001B6A3D"/>
    <w:rsid w:val="001C0081"/>
    <w:rsid w:val="001C10FB"/>
    <w:rsid w:val="001E275B"/>
    <w:rsid w:val="001E6B38"/>
    <w:rsid w:val="001F591B"/>
    <w:rsid w:val="001F7A6C"/>
    <w:rsid w:val="00225B82"/>
    <w:rsid w:val="002436E5"/>
    <w:rsid w:val="002603D7"/>
    <w:rsid w:val="00263876"/>
    <w:rsid w:val="00264568"/>
    <w:rsid w:val="00283DDC"/>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691A"/>
    <w:rsid w:val="00365CB3"/>
    <w:rsid w:val="003663D1"/>
    <w:rsid w:val="0037668D"/>
    <w:rsid w:val="003809B6"/>
    <w:rsid w:val="00382329"/>
    <w:rsid w:val="003A32AD"/>
    <w:rsid w:val="003E2B22"/>
    <w:rsid w:val="003F52D0"/>
    <w:rsid w:val="00406148"/>
    <w:rsid w:val="00406EF4"/>
    <w:rsid w:val="00413BF7"/>
    <w:rsid w:val="004358A4"/>
    <w:rsid w:val="004378B6"/>
    <w:rsid w:val="0044035E"/>
    <w:rsid w:val="00486AFF"/>
    <w:rsid w:val="00490592"/>
    <w:rsid w:val="004C06F3"/>
    <w:rsid w:val="004C0FAE"/>
    <w:rsid w:val="004C37B2"/>
    <w:rsid w:val="004C420F"/>
    <w:rsid w:val="004E1BAF"/>
    <w:rsid w:val="004E4CF0"/>
    <w:rsid w:val="004E5E17"/>
    <w:rsid w:val="004F24CD"/>
    <w:rsid w:val="00502C54"/>
    <w:rsid w:val="005362BF"/>
    <w:rsid w:val="00570BC5"/>
    <w:rsid w:val="005A2FDD"/>
    <w:rsid w:val="005A43DF"/>
    <w:rsid w:val="005B5668"/>
    <w:rsid w:val="005C304E"/>
    <w:rsid w:val="005C424E"/>
    <w:rsid w:val="005D1FF9"/>
    <w:rsid w:val="005D34B9"/>
    <w:rsid w:val="005D6E14"/>
    <w:rsid w:val="005F4A12"/>
    <w:rsid w:val="0060178E"/>
    <w:rsid w:val="006078F9"/>
    <w:rsid w:val="00610F28"/>
    <w:rsid w:val="00620E58"/>
    <w:rsid w:val="006270C6"/>
    <w:rsid w:val="006354FD"/>
    <w:rsid w:val="00641607"/>
    <w:rsid w:val="00656D1E"/>
    <w:rsid w:val="00662C5F"/>
    <w:rsid w:val="006650D7"/>
    <w:rsid w:val="006766CC"/>
    <w:rsid w:val="006924C4"/>
    <w:rsid w:val="006936A2"/>
    <w:rsid w:val="006971C6"/>
    <w:rsid w:val="006D7E4D"/>
    <w:rsid w:val="006F0A44"/>
    <w:rsid w:val="006F5EBB"/>
    <w:rsid w:val="007336F9"/>
    <w:rsid w:val="00742C69"/>
    <w:rsid w:val="00783BAD"/>
    <w:rsid w:val="007A02CE"/>
    <w:rsid w:val="007B3CF7"/>
    <w:rsid w:val="007D60DD"/>
    <w:rsid w:val="00815068"/>
    <w:rsid w:val="00816734"/>
    <w:rsid w:val="00822809"/>
    <w:rsid w:val="00830963"/>
    <w:rsid w:val="00834ED6"/>
    <w:rsid w:val="00856037"/>
    <w:rsid w:val="008854AA"/>
    <w:rsid w:val="008A4AAA"/>
    <w:rsid w:val="008C5FEB"/>
    <w:rsid w:val="008D1C56"/>
    <w:rsid w:val="008D26E3"/>
    <w:rsid w:val="0095469C"/>
    <w:rsid w:val="00964943"/>
    <w:rsid w:val="009B1AC1"/>
    <w:rsid w:val="009B2C90"/>
    <w:rsid w:val="009B7757"/>
    <w:rsid w:val="009D37B4"/>
    <w:rsid w:val="009F0B2A"/>
    <w:rsid w:val="00A00E85"/>
    <w:rsid w:val="00A17F2F"/>
    <w:rsid w:val="00A23802"/>
    <w:rsid w:val="00A24C77"/>
    <w:rsid w:val="00A42276"/>
    <w:rsid w:val="00A4662B"/>
    <w:rsid w:val="00A5183F"/>
    <w:rsid w:val="00A61547"/>
    <w:rsid w:val="00A63BB3"/>
    <w:rsid w:val="00A87EDF"/>
    <w:rsid w:val="00A923A5"/>
    <w:rsid w:val="00AA3D07"/>
    <w:rsid w:val="00AA6438"/>
    <w:rsid w:val="00AD08EA"/>
    <w:rsid w:val="00AD2FCB"/>
    <w:rsid w:val="00AF6720"/>
    <w:rsid w:val="00B40C50"/>
    <w:rsid w:val="00B42100"/>
    <w:rsid w:val="00B44886"/>
    <w:rsid w:val="00B55CB9"/>
    <w:rsid w:val="00B56602"/>
    <w:rsid w:val="00B66E6A"/>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2F72"/>
    <w:rsid w:val="00C61D3E"/>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71E8A"/>
    <w:rsid w:val="00D730FC"/>
    <w:rsid w:val="00D84920"/>
    <w:rsid w:val="00D942BB"/>
    <w:rsid w:val="00D95D63"/>
    <w:rsid w:val="00DD0D05"/>
    <w:rsid w:val="00DE47CA"/>
    <w:rsid w:val="00DE4EB0"/>
    <w:rsid w:val="00DE7A52"/>
    <w:rsid w:val="00DF7A1D"/>
    <w:rsid w:val="00E13CF0"/>
    <w:rsid w:val="00E163FB"/>
    <w:rsid w:val="00E22060"/>
    <w:rsid w:val="00E52CEA"/>
    <w:rsid w:val="00E62C0E"/>
    <w:rsid w:val="00E70E00"/>
    <w:rsid w:val="00E73C44"/>
    <w:rsid w:val="00E84E5F"/>
    <w:rsid w:val="00EA025F"/>
    <w:rsid w:val="00EA1811"/>
    <w:rsid w:val="00EA55DF"/>
    <w:rsid w:val="00ED2F0B"/>
    <w:rsid w:val="00EE50E1"/>
    <w:rsid w:val="00EF1F61"/>
    <w:rsid w:val="00EF320C"/>
    <w:rsid w:val="00F007A3"/>
    <w:rsid w:val="00F246BC"/>
    <w:rsid w:val="00F24D5C"/>
    <w:rsid w:val="00F30595"/>
    <w:rsid w:val="00F353B4"/>
    <w:rsid w:val="00F3588E"/>
    <w:rsid w:val="00F46099"/>
    <w:rsid w:val="00F5351D"/>
    <w:rsid w:val="00F562FB"/>
    <w:rsid w:val="00F63924"/>
    <w:rsid w:val="00FE675D"/>
    <w:rsid w:val="1523234E"/>
    <w:rsid w:val="1AE168B1"/>
    <w:rsid w:val="304D451A"/>
    <w:rsid w:val="32724611"/>
    <w:rsid w:val="32A55DAD"/>
    <w:rsid w:val="343E3332"/>
    <w:rsid w:val="34732F39"/>
    <w:rsid w:val="3B0B11BE"/>
    <w:rsid w:val="3B8975AA"/>
    <w:rsid w:val="46DE524B"/>
    <w:rsid w:val="4D960EE4"/>
    <w:rsid w:val="4E506E19"/>
    <w:rsid w:val="5332009D"/>
    <w:rsid w:val="5A2E64CC"/>
    <w:rsid w:val="700633CB"/>
    <w:rsid w:val="7C3F0A1B"/>
    <w:rsid w:val="7EB251B1"/>
    <w:rsid w:val="7F95568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6">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3"/>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2"/>
    <w:semiHidden/>
    <w:unhideWhenUsed/>
    <w:qFormat/>
    <w:uiPriority w:val="99"/>
    <w:pPr>
      <w:spacing w:line="240" w:lineRule="auto"/>
    </w:pPr>
    <w:rPr>
      <w:sz w:val="18"/>
      <w:szCs w:val="18"/>
    </w:rPr>
  </w:style>
  <w:style w:type="paragraph" w:styleId="4">
    <w:name w:val="footer"/>
    <w:basedOn w:val="1"/>
    <w:link w:val="11"/>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7">
    <w:name w:val="page number"/>
    <w:basedOn w:val="6"/>
    <w:qFormat/>
    <w:uiPriority w:val="0"/>
  </w:style>
  <w:style w:type="paragraph" w:customStyle="1" w:styleId="9">
    <w:name w:val="Char"/>
    <w:basedOn w:val="1"/>
    <w:qFormat/>
    <w:uiPriority w:val="99"/>
    <w:pPr>
      <w:spacing w:line="240" w:lineRule="auto"/>
    </w:pPr>
    <w:rPr>
      <w:rFonts w:ascii="Times New Roman" w:hAnsi="Times New Roman" w:eastAsia="宋体"/>
      <w:sz w:val="21"/>
      <w:szCs w:val="20"/>
    </w:rPr>
  </w:style>
  <w:style w:type="character" w:customStyle="1" w:styleId="10">
    <w:name w:val="页眉 Char"/>
    <w:link w:val="5"/>
    <w:qFormat/>
    <w:locked/>
    <w:uiPriority w:val="99"/>
    <w:rPr>
      <w:rFonts w:ascii="仿宋_GB2312" w:hAnsi="Calibri" w:eastAsia="仿宋_GB2312" w:cs="Times New Roman"/>
      <w:sz w:val="18"/>
      <w:szCs w:val="18"/>
    </w:rPr>
  </w:style>
  <w:style w:type="character" w:customStyle="1" w:styleId="11">
    <w:name w:val="页脚 Char"/>
    <w:link w:val="4"/>
    <w:qFormat/>
    <w:locked/>
    <w:uiPriority w:val="99"/>
    <w:rPr>
      <w:rFonts w:ascii="仿宋_GB2312" w:hAnsi="Calibri" w:eastAsia="仿宋_GB2312" w:cs="Times New Roman"/>
      <w:sz w:val="18"/>
      <w:szCs w:val="18"/>
    </w:rPr>
  </w:style>
  <w:style w:type="character" w:customStyle="1" w:styleId="12">
    <w:name w:val="批注框文本 Char"/>
    <w:link w:val="3"/>
    <w:semiHidden/>
    <w:qFormat/>
    <w:uiPriority w:val="99"/>
    <w:rPr>
      <w:rFonts w:ascii="仿宋_GB2312" w:eastAsia="仿宋_GB2312"/>
      <w:kern w:val="2"/>
      <w:sz w:val="18"/>
      <w:szCs w:val="18"/>
    </w:rPr>
  </w:style>
  <w:style w:type="character" w:customStyle="1" w:styleId="13">
    <w:name w:val="日期 Char"/>
    <w:link w:val="2"/>
    <w:semiHidden/>
    <w:qFormat/>
    <w:locked/>
    <w:uiPriority w:val="99"/>
    <w:rPr>
      <w:rFonts w:ascii="Times New Roman" w:hAnsi="Times New Roman"/>
      <w:sz w:val="24"/>
      <w:szCs w:val="24"/>
    </w:rPr>
  </w:style>
  <w:style w:type="character" w:customStyle="1" w:styleId="14">
    <w:name w:val="日期 Char1"/>
    <w:basedOn w:val="6"/>
    <w:semiHidden/>
    <w:qFormat/>
    <w:uiPriority w:val="99"/>
    <w:rPr>
      <w:rFonts w:ascii="仿宋_GB2312" w:eastAsia="仿宋_GB2312"/>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17</Pages>
  <Words>1420</Words>
  <Characters>8095</Characters>
  <Lines>67</Lines>
  <Paragraphs>18</Paragraphs>
  <TotalTime>1</TotalTime>
  <ScaleCrop>false</ScaleCrop>
  <LinksUpToDate>false</LinksUpToDate>
  <CharactersWithSpaces>9497</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紫藤</cp:lastModifiedBy>
  <cp:lastPrinted>2019-04-23T09:16:00Z</cp:lastPrinted>
  <dcterms:modified xsi:type="dcterms:W3CDTF">2021-05-17T08:02:03Z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