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F0C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BBC2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丁字湾街道法治政府建设报告</w:t>
      </w:r>
    </w:p>
    <w:p w14:paraId="68200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8E9B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，丁字湾街道深入贯彻落实中共中央、国务院《法治政府建设实施纲要（2021-2025年）》及《长沙市法治政府建设实施方案(2022-2025年)》等文件精神，坚持以习近平法治思想为引领，将法治政府建设融入街道发展全局，与经济社会发展同部署、同推进、同考核，扎实推进各项工作落地见效，为辖区高质量发展筑牢法治根基。现将本年度法治政府建设情况报告如下：</w:t>
      </w:r>
    </w:p>
    <w:p w14:paraId="09250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一、强化思想引领，筑牢法治建设政治根基</w:t>
      </w:r>
    </w:p>
    <w:p w14:paraId="244DF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（一）压实法治建设领导责任</w:t>
      </w:r>
    </w:p>
    <w:p w14:paraId="3B62B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街道党工委、办事处切实履行推进法治建设主体责任，成立由主要领导任组长的法治建设领导小组，明确职责分工，形成“主要领导亲自抓、分管领导具体抓、各部门协同落实”的工作格局。定期召开法治建设专题会议，研究部署重点任务，破解工作难点问题，确保法治政府建设方向不偏、力度不减。</w:t>
      </w:r>
    </w:p>
    <w:p w14:paraId="0E6B4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（二）深化习近平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法治思想学习宣传</w:t>
      </w:r>
    </w:p>
    <w:p w14:paraId="31D02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 分层分类开展法治教育：将习近平法治思想纳入党工委理论学习中心组核心学习内容，2025年组织专题学习5次，抓好“关键少数”学法用法；通过工会活动、支部主题党日等载体，以专题讲座、警示教育片等形式强化机关干部宪法学习；聚焦群众需求，开展“农村法制宣传月”“青少年法治宣传周”等主题活动30余次，覆盖征地拆迁、禁毒反诈、民生保障等重点领域。</w:t>
      </w:r>
    </w:p>
    <w:p w14:paraId="2EBD4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 创新宣传传播矩阵：构建“线上+线下”全方位宣传体系，线下通过悬挂横幅、张贴标语营造浓厚氛围，线上依托学习强国、云上望城APP、微信朋友圈等平台精准推送法治知识，让法治理念走进千家万户，切实提升群众法治意识和法治素养。</w:t>
      </w:r>
    </w:p>
    <w:p w14:paraId="0EB75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（三）提升依法履职能力</w:t>
      </w:r>
    </w:p>
    <w:p w14:paraId="345D8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领导干部带头尊法学法守法用法，将法治培训纳入干部教育培训体系，通过业务培训、案例研讨等方式，组织全体工作人员系统学习法律法规，不断提升运用法治思维和法治方式深化改革、推动发展、化解矛盾、维护稳定的能力。</w:t>
      </w:r>
    </w:p>
    <w:p w14:paraId="3717B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二、聚焦重点任务，提升法治政府建设质效</w:t>
      </w:r>
    </w:p>
    <w:p w14:paraId="3EABB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（一）健全制度体系，规范行政决策行为</w:t>
      </w:r>
    </w:p>
    <w:p w14:paraId="66249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 完善法律顾问机制：聘请长沙坦途法律服务有限公司担任常年法律顾问，深度参与征地拆迁、项目建设、政策执行等领域法律事务，为党委及部门文件、重大决策提供合法合规性审查，全年为村（社区）重大决策提供法律支撑、为群众提供义务法律咨询180余次。</w:t>
      </w:r>
    </w:p>
    <w:p w14:paraId="4790D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 规范决策程序流程：对专业性强的重大事项实行专家论证、决策评估制度，对涉及群众利益的重大事项严格执行征求意见、公示、听证制度，保障公众有效参与行政决策；参照浙江省乡镇（街道）合法性审查工作标准，将产业发展、项目建设等领域15件重大决策和规范性文件纳入前置审查，未出现违法违规情形。</w:t>
      </w:r>
    </w:p>
    <w:p w14:paraId="7DF460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 深化政务公开工作：依托政府网站、政务公开栏、微信公众号等平台，依法及时公开财政预决算、重点项目、民生政策、行政执法等关键信息，主动接受社会监督，保障群众知情权、参与权、表达权和监督权。</w:t>
      </w:r>
    </w:p>
    <w:p w14:paraId="05C02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（二）优化政务服务，增进民生法治福祉</w:t>
      </w:r>
    </w:p>
    <w:p w14:paraId="4A7CF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 深化“放管服”改革：优化街道、村（社区）政务服务窗口设置，推行“一窗受理、集成服务”模式，简化办事流程，落实“最多跑一次”要求。2025年实现服务中心业务按时办结率高位运行，12345热线响应率、办结率及满意率持续提升，基层便民服务站点直办业务范围不断拓展，服务效能显著增强。</w:t>
      </w:r>
    </w:p>
    <w:p w14:paraId="392AC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 健全矛盾化解机制：坚持和发展新时代“枫桥经验”，构建街道、村（社区）两级调解组织网络，加强专职人民调解员队伍建设，完善行政调解、司法调解与人民调解联动体系，高效化解征地拆迁、劳动争议、物业管理等重点领域矛盾纠纷。</w:t>
      </w:r>
    </w:p>
    <w:p w14:paraId="38D3A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 规范信访工作办理：严格落实《信访工作条例》，规范信访事项受理、办理、回复全流程，引导群众依法理性表达诉求，运用法治方式解决信访问题，全年信访工作均达到省、市、区相关要求。</w:t>
      </w:r>
    </w:p>
    <w:p w14:paraId="43C33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（三）优化营商环境，激发市场主体活力</w:t>
      </w:r>
    </w:p>
    <w:p w14:paraId="1EE99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 提升涉企服务效能：以“法治是最好的营商环境”为导向，建立优化营商环境跟踪评估与考核挂钩机制，对企业反映的审批流程、政策兑现等问题建立台账、逐项销号；推行涉企事项“一件事一次办”“跨省通办”，减少企业跑动次数，压缩办理时限，为企业提供全生命周期服务。</w:t>
      </w:r>
    </w:p>
    <w:p w14:paraId="5271E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 规范涉企行政执法：制定涉企检查事项清单，严格落实“双随机、一公开”监管机制，杜绝重复检查、随意检查；加强执法人员法治素养和执法能力培训，规范行政执法行为，坚决杜绝选择性执法、随意性执法等问题，切实保护企业合法经营权益。</w:t>
      </w:r>
    </w:p>
    <w:p w14:paraId="38EDA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 强化行政争议化解：建立行政机关主要负责人出庭应诉台账，2025年出庭应诉率达100%；加强行政复议与行政诉讼衔接，定期分析纠错案例和败诉案例，建立问题整改长效机制，全年行政复议纠错率、行政诉讼败诉率控制在较低水平，未发生重大违法行政案件。</w:t>
      </w:r>
    </w:p>
    <w:p w14:paraId="326EF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三、谋划未来发展，明确法治建设前进方向</w:t>
      </w:r>
    </w:p>
    <w:p w14:paraId="1A61E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（一）深化法治宣传教育</w:t>
      </w:r>
    </w:p>
    <w:p w14:paraId="4A1AD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持续抓好领导干部、机关干部、企业群众分层分类法治教育，创新宣传形式载体，针对企业需求开展定制化法治宣传活动，推动习近平法治思想在基层落地生根，进一步提升全社会法治意识。</w:t>
      </w:r>
    </w:p>
    <w:p w14:paraId="03115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（二）完善长效工作机制</w:t>
      </w:r>
    </w:p>
    <w:p w14:paraId="3028E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细化涉企服务流程，拓展法律顾问涉企服务范围，建立政企法治沟通直通车制度，及时回应企业法律需求；优化合法性审查机制，引入数字化审查工具，提升审查质效，有效防范法律风险。</w:t>
      </w:r>
    </w:p>
    <w:p w14:paraId="47BD3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（三）强化执法规范化建设</w:t>
      </w:r>
    </w:p>
    <w:p w14:paraId="200F0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加大执法人员专业培训力度，推进“互联网+监管”模式应用，提升执法精准度和效率；健全行政争议化解联动机制，加强与司法机关协作，完善矛盾纠纷多元化解体系，及时有效化解各类矛盾问题。</w:t>
      </w:r>
    </w:p>
    <w:p w14:paraId="4E965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（四）压实工作落实责任</w:t>
      </w:r>
    </w:p>
    <w:p w14:paraId="42B446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法治政府建设成效纳入街道各部门、村（社区）绩效考核核心指标，定期开展专项督察，对推进不力、问题较多的单位和个人进行约谈问责，形成一级抓一级、层层抓落实的工作格局，确保法治政府建设各项任务落地见效。</w:t>
      </w:r>
    </w:p>
    <w:p w14:paraId="10C2B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2220B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长沙市望城区丁字湾街道办事处</w:t>
      </w:r>
    </w:p>
    <w:p w14:paraId="5276F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2025年11月15日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A208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A63CEA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A63CEA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F4008"/>
    <w:rsid w:val="132B5CE7"/>
    <w:rsid w:val="16AF4008"/>
    <w:rsid w:val="72B6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2267</Words>
  <Characters>2325</Characters>
  <Lines>0</Lines>
  <Paragraphs>0</Paragraphs>
  <TotalTime>36</TotalTime>
  <ScaleCrop>false</ScaleCrop>
  <LinksUpToDate>false</LinksUpToDate>
  <CharactersWithSpaces>2364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2026-01-09T06:57:00Z</dcterms:created>
  <dc:creator>丽莎</dc:creator>
  <cp:lastModifiedBy>ZZjier</cp:lastModifiedBy>
  <dcterms:modified xsi:type="dcterms:W3CDTF">2026-01-15T03:57:38Z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B4D877C5277C467AAAB2CF9727694CD2_11</vt:lpwstr>
  </property>
  <property fmtid="{D5CDD505-2E9C-101B-9397-08002B2CF9AE}" pid="4" name="KSOTemplateDocerSaveRecord">
    <vt:lpwstr>eyJoZGlkIjoiMWVhMTM3YTc4NzRlYjM1Mzg2YmY4YmQ0YzNkZGM5ODQiLCJ1c2VySWQiOiI0NTExNDc2MjUifQ==</vt:lpwstr>
  </property>
</Properties>
</file>