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长沙市望城区高塘岭街道2025年</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法治政府建设工作报告</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2025年</w:t>
      </w:r>
      <w:r>
        <w:rPr>
          <w:rFonts w:hint="eastAsia" w:ascii="仿宋_GB2312" w:hAnsi="仿宋_GB2312" w:eastAsia="仿宋_GB2312" w:cs="仿宋_GB2312"/>
          <w:sz w:val="32"/>
          <w:szCs w:val="32"/>
          <w:lang w:val="en-US" w:eastAsia="zh-CN"/>
        </w:rPr>
        <w:t>，高塘岭街道在区委、区政府的坚强领导下，坚持以习近平新时代中国特色社会主义思想为指导，深入学习宣</w:t>
      </w:r>
      <w:r>
        <w:rPr>
          <w:rFonts w:hint="eastAsia" w:ascii="仿宋_GB2312" w:hAnsi="仿宋_GB2312" w:eastAsia="仿宋_GB2312" w:cs="仿宋_GB2312"/>
          <w:spacing w:val="6"/>
          <w:sz w:val="32"/>
          <w:szCs w:val="32"/>
          <w:lang w:val="en-US" w:eastAsia="zh-CN"/>
        </w:rPr>
        <w:t>传贯彻习近平法治思想，深入贯彻落实党的二十大及二十届历次全会精神，</w:t>
      </w:r>
      <w:r>
        <w:rPr>
          <w:rFonts w:hint="eastAsia" w:ascii="仿宋_GB2312" w:hAnsi="仿宋_GB2312" w:eastAsia="仿宋_GB2312" w:cs="仿宋_GB2312"/>
          <w:sz w:val="32"/>
          <w:szCs w:val="32"/>
          <w:lang w:val="en-US" w:eastAsia="zh-CN"/>
        </w:rPr>
        <w:t>按照省、市、区关于法治政府建设的统一部署，着力培养树牢法治思维，全方位提高依法行政水平，高质量推进法治政府建设，各项工作取得较好成效，为实现高塘岭街道经济高质量发展提供了坚强的法治保障。现将</w:t>
      </w:r>
      <w:r>
        <w:rPr>
          <w:rFonts w:hint="eastAsia" w:ascii="仿宋_GB2312" w:hAnsi="仿宋_GB2312" w:eastAsia="仿宋_GB2312" w:cs="仿宋_GB2312"/>
          <w:sz w:val="32"/>
          <w:szCs w:val="32"/>
          <w:highlight w:val="none"/>
          <w:lang w:val="en-US" w:eastAsia="zh-CN"/>
        </w:rPr>
        <w:t>2025年法治政府建设工作开展情况报告如下：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一、202</w:t>
      </w:r>
      <w:r>
        <w:rPr>
          <w:rFonts w:hint="eastAsia" w:ascii="黑体" w:hAnsi="黑体" w:eastAsia="黑体" w:cs="黑体"/>
          <w:sz w:val="32"/>
          <w:szCs w:val="32"/>
          <w:highlight w:val="none"/>
          <w:lang w:val="en-US" w:eastAsia="zh-CN"/>
        </w:rPr>
        <w:t>5</w:t>
      </w:r>
      <w:r>
        <w:rPr>
          <w:rFonts w:hint="eastAsia" w:ascii="黑体" w:hAnsi="黑体" w:eastAsia="黑体" w:cs="黑体"/>
          <w:sz w:val="32"/>
          <w:szCs w:val="32"/>
          <w:highlight w:val="none"/>
          <w:lang w:eastAsia="zh-CN"/>
        </w:rPr>
        <w:t>年度推进法治政府建设主要举措和成效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highlight w:val="none"/>
          <w:lang w:val="en-US" w:eastAsia="zh-CN"/>
        </w:rPr>
        <w:t>1.发挥</w:t>
      </w:r>
      <w:r>
        <w:rPr>
          <w:rFonts w:hint="eastAsia" w:ascii="楷体_GB2312" w:hAnsi="楷体_GB2312" w:eastAsia="楷体_GB2312" w:cs="楷体_GB2312"/>
          <w:b/>
          <w:bCs/>
          <w:color w:val="auto"/>
          <w:sz w:val="32"/>
          <w:szCs w:val="32"/>
          <w:highlight w:val="none"/>
          <w:lang w:val="en-US" w:eastAsia="zh-CN"/>
        </w:rPr>
        <w:t>党政领导核心</w:t>
      </w:r>
      <w:r>
        <w:rPr>
          <w:rFonts w:hint="eastAsia" w:ascii="楷体_GB2312" w:hAnsi="楷体_GB2312" w:eastAsia="楷体_GB2312" w:cs="楷体_GB2312"/>
          <w:b/>
          <w:bCs/>
          <w:sz w:val="32"/>
          <w:szCs w:val="32"/>
          <w:highlight w:val="none"/>
          <w:lang w:val="en-US" w:eastAsia="zh-CN"/>
        </w:rPr>
        <w:t>作用。</w:t>
      </w:r>
      <w:r>
        <w:rPr>
          <w:rFonts w:hint="eastAsia" w:ascii="仿宋_GB2312" w:hAnsi="仿宋_GB2312" w:eastAsia="仿宋_GB2312" w:cs="仿宋_GB2312"/>
          <w:sz w:val="32"/>
          <w:szCs w:val="32"/>
          <w:lang w:val="en-US" w:eastAsia="zh-CN"/>
        </w:rPr>
        <w:t>街道党工委充分发挥总揽全局、协调各方的核心作用，成立</w:t>
      </w:r>
      <w:r>
        <w:rPr>
          <w:rFonts w:hint="eastAsia" w:ascii="仿宋_GB2312" w:hAnsi="仿宋_GB2312" w:eastAsia="仿宋_GB2312" w:cs="仿宋_GB2312"/>
          <w:sz w:val="32"/>
          <w:szCs w:val="32"/>
          <w:highlight w:val="none"/>
          <w:lang w:val="en-US" w:eastAsia="zh-CN"/>
        </w:rPr>
        <w:t>由书记任组长，其他党政领导任副组长，各办线主任、各村（</w:t>
      </w:r>
      <w:r>
        <w:rPr>
          <w:rFonts w:hint="eastAsia" w:ascii="仿宋_GB2312" w:hAnsi="仿宋_GB2312" w:eastAsia="仿宋_GB2312" w:cs="仿宋_GB2312"/>
          <w:sz w:val="32"/>
          <w:szCs w:val="32"/>
          <w:lang w:val="en-US" w:eastAsia="zh-CN"/>
        </w:rPr>
        <w:t>社区）书记为成员的</w:t>
      </w:r>
      <w:r>
        <w:rPr>
          <w:rFonts w:hint="eastAsia" w:ascii="Times New Roman" w:hAnsi="Times New Roman" w:eastAsia="仿宋_GB2312" w:cs="Times New Roman"/>
          <w:sz w:val="32"/>
          <w:szCs w:val="32"/>
        </w:rPr>
        <w:t>法治</w:t>
      </w:r>
      <w:r>
        <w:rPr>
          <w:rFonts w:hint="eastAsia" w:ascii="Times New Roman" w:hAnsi="Times New Roman" w:eastAsia="仿宋_GB2312" w:cs="Times New Roman"/>
          <w:sz w:val="32"/>
          <w:szCs w:val="32"/>
          <w:lang w:val="en-US" w:eastAsia="zh-CN"/>
        </w:rPr>
        <w:t>政府</w:t>
      </w:r>
      <w:r>
        <w:rPr>
          <w:rFonts w:hint="eastAsia" w:ascii="Times New Roman" w:hAnsi="Times New Roman" w:eastAsia="仿宋_GB2312" w:cs="Times New Roman"/>
          <w:sz w:val="32"/>
          <w:szCs w:val="32"/>
        </w:rPr>
        <w:t>建设领导小组</w:t>
      </w:r>
      <w:r>
        <w:rPr>
          <w:rFonts w:hint="eastAsia" w:ascii="仿宋_GB2312" w:hAnsi="仿宋_GB2312" w:eastAsia="仿宋_GB2312" w:cs="仿宋_GB2312"/>
          <w:sz w:val="32"/>
          <w:szCs w:val="32"/>
          <w:lang w:val="en-US" w:eastAsia="zh-CN"/>
        </w:rPr>
        <w:t>。通过定期召开</w:t>
      </w:r>
      <w:r>
        <w:rPr>
          <w:rFonts w:hint="eastAsia" w:ascii="仿宋_GB2312" w:hAnsi="仿宋_GB2312" w:eastAsia="仿宋_GB2312" w:cs="仿宋_GB2312"/>
          <w:sz w:val="32"/>
          <w:szCs w:val="32"/>
        </w:rPr>
        <w:t>法治</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建设工作</w:t>
      </w:r>
      <w:r>
        <w:rPr>
          <w:rFonts w:hint="eastAsia" w:ascii="仿宋_GB2312" w:hAnsi="仿宋_GB2312" w:eastAsia="仿宋_GB2312" w:cs="仿宋_GB2312"/>
          <w:sz w:val="32"/>
          <w:szCs w:val="32"/>
          <w:lang w:eastAsia="zh-CN"/>
        </w:rPr>
        <w:t>会议</w:t>
      </w:r>
      <w:r>
        <w:rPr>
          <w:rFonts w:hint="eastAsia" w:ascii="仿宋_GB2312" w:hAnsi="仿宋_GB2312" w:eastAsia="仿宋_GB2312" w:cs="仿宋_GB2312"/>
          <w:sz w:val="32"/>
          <w:szCs w:val="32"/>
        </w:rPr>
        <w:t>，研究解决</w:t>
      </w:r>
      <w:r>
        <w:rPr>
          <w:rFonts w:hint="eastAsia" w:ascii="仿宋_GB2312" w:hAnsi="仿宋_GB2312" w:eastAsia="仿宋_GB2312" w:cs="仿宋_GB2312"/>
          <w:sz w:val="32"/>
          <w:szCs w:val="32"/>
          <w:lang w:val="en-US" w:eastAsia="zh-CN"/>
        </w:rPr>
        <w:t>法治政府建设中存在的相关</w:t>
      </w:r>
      <w:r>
        <w:rPr>
          <w:rFonts w:hint="eastAsia" w:ascii="仿宋_GB2312" w:hAnsi="仿宋_GB2312" w:eastAsia="仿宋_GB2312" w:cs="仿宋_GB2312"/>
          <w:sz w:val="32"/>
          <w:szCs w:val="32"/>
        </w:rPr>
        <w:t>问题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auto"/>
          <w:sz w:val="32"/>
          <w:szCs w:val="32"/>
          <w:lang w:val="en-US" w:eastAsia="zh-CN"/>
        </w:rPr>
        <w:t>多次组织党政领导在党组理论学</w:t>
      </w:r>
      <w:bookmarkStart w:id="0" w:name="_GoBack"/>
      <w:bookmarkEnd w:id="0"/>
      <w:r>
        <w:rPr>
          <w:rFonts w:hint="eastAsia" w:ascii="仿宋_GB2312" w:hAnsi="仿宋_GB2312" w:eastAsia="仿宋_GB2312" w:cs="仿宋_GB2312"/>
          <w:color w:val="auto"/>
          <w:sz w:val="32"/>
          <w:szCs w:val="32"/>
          <w:lang w:val="en-US" w:eastAsia="zh-CN"/>
        </w:rPr>
        <w:t>习中心组、党政领导会议中，对习近平法</w:t>
      </w:r>
      <w:r>
        <w:rPr>
          <w:rFonts w:hint="eastAsia" w:ascii="仿宋_GB2312" w:hAnsi="仿宋_GB2312" w:eastAsia="仿宋_GB2312" w:cs="仿宋_GB2312"/>
          <w:sz w:val="32"/>
          <w:szCs w:val="32"/>
          <w:lang w:val="en-US" w:eastAsia="zh-CN"/>
        </w:rPr>
        <w:t>治思想和依法治国工作会议精神进行深入学习，</w:t>
      </w:r>
      <w:r>
        <w:rPr>
          <w:rFonts w:hint="eastAsia" w:ascii="仿宋_GB2312" w:hAnsi="仿宋_GB2312" w:eastAsia="仿宋_GB2312" w:cs="仿宋_GB2312"/>
          <w:color w:val="auto"/>
          <w:sz w:val="32"/>
          <w:szCs w:val="32"/>
          <w:highlight w:val="none"/>
          <w:lang w:val="en-US" w:eastAsia="zh-CN"/>
        </w:rPr>
        <w:t>确保</w:t>
      </w:r>
      <w:r>
        <w:rPr>
          <w:rFonts w:hint="eastAsia" w:ascii="仿宋_GB2312" w:hAnsi="仿宋_GB2312" w:eastAsia="仿宋_GB2312" w:cs="仿宋_GB2312"/>
          <w:color w:val="auto"/>
          <w:sz w:val="32"/>
          <w:szCs w:val="32"/>
          <w:highlight w:val="none"/>
        </w:rPr>
        <w:t>“权力取得要依法，权力行使按流程，权力运行</w:t>
      </w:r>
      <w:r>
        <w:rPr>
          <w:rFonts w:hint="eastAsia" w:ascii="仿宋_GB2312" w:hAnsi="仿宋_GB2312" w:eastAsia="仿宋_GB2312" w:cs="仿宋_GB2312"/>
          <w:color w:val="auto"/>
          <w:sz w:val="32"/>
          <w:szCs w:val="32"/>
          <w:highlight w:val="none"/>
          <w:lang w:eastAsia="zh-CN"/>
        </w:rPr>
        <w:t>需透明”</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认真组织全体机关干部参与学法普法考法工作，机关干部学分达标率100%，考试通过率100%，全年共56名同志通过年度执法资格考试。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2.定期开展合法性审查及绩效考核监督工作。</w:t>
      </w:r>
      <w:r>
        <w:rPr>
          <w:rFonts w:hint="eastAsia" w:ascii="仿宋_GB2312" w:hAnsi="仿宋_GB2312" w:eastAsia="仿宋_GB2312" w:cs="仿宋_GB2312"/>
          <w:sz w:val="32"/>
          <w:szCs w:val="32"/>
          <w:lang w:eastAsia="zh-CN"/>
        </w:rPr>
        <w:t>街道定期开展行政规范性文件清理工作，</w:t>
      </w:r>
      <w:r>
        <w:rPr>
          <w:rFonts w:hint="eastAsia" w:ascii="仿宋_GB2312" w:hAnsi="仿宋_GB2312" w:eastAsia="仿宋_GB2312" w:cs="仿宋_GB2312"/>
          <w:sz w:val="32"/>
          <w:szCs w:val="32"/>
          <w:lang w:val="en-US" w:eastAsia="zh-CN"/>
        </w:rPr>
        <w:t>确保</w:t>
      </w:r>
      <w:r>
        <w:rPr>
          <w:rFonts w:hint="eastAsia" w:ascii="仿宋_GB2312" w:hAnsi="仿宋_GB2312" w:eastAsia="仿宋_GB2312" w:cs="仿宋_GB2312"/>
          <w:sz w:val="32"/>
          <w:szCs w:val="32"/>
        </w:rPr>
        <w:t>在行使职能过程中</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重大事项决策上，无与法律法规相抵触的现象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本年度已对涉自建房、</w:t>
      </w:r>
      <w:r>
        <w:rPr>
          <w:rFonts w:hint="eastAsia" w:ascii="仿宋_GB2312" w:hAnsi="仿宋_GB2312" w:eastAsia="仿宋_GB2312" w:cs="仿宋_GB2312"/>
          <w:sz w:val="32"/>
          <w:szCs w:val="32"/>
          <w:lang w:eastAsia="zh-CN"/>
        </w:rPr>
        <w:t>涉计划生育内容的规范性文件</w:t>
      </w:r>
      <w:r>
        <w:rPr>
          <w:rFonts w:hint="eastAsia" w:ascii="仿宋_GB2312" w:hAnsi="仿宋_GB2312" w:eastAsia="仿宋_GB2312" w:cs="仿宋_GB2312"/>
          <w:sz w:val="32"/>
          <w:szCs w:val="32"/>
          <w:lang w:val="en-US" w:eastAsia="zh-CN"/>
        </w:rPr>
        <w:t>进行了专项</w:t>
      </w:r>
      <w:r>
        <w:rPr>
          <w:rFonts w:hint="eastAsia" w:ascii="仿宋_GB2312" w:hAnsi="仿宋_GB2312" w:eastAsia="仿宋_GB2312" w:cs="仿宋_GB2312"/>
          <w:sz w:val="32"/>
          <w:szCs w:val="32"/>
          <w:lang w:eastAsia="zh-CN"/>
        </w:rPr>
        <w:t>清理，</w:t>
      </w:r>
      <w:r>
        <w:rPr>
          <w:rFonts w:hint="eastAsia" w:ascii="仿宋_GB2312" w:hAnsi="仿宋_GB2312" w:eastAsia="仿宋_GB2312" w:cs="仿宋_GB2312"/>
          <w:sz w:val="32"/>
          <w:szCs w:val="32"/>
          <w:lang w:val="en-US" w:eastAsia="zh-CN"/>
        </w:rPr>
        <w:t>研究其</w:t>
      </w:r>
      <w:r>
        <w:rPr>
          <w:rFonts w:hint="eastAsia" w:ascii="仿宋_GB2312" w:hAnsi="仿宋_GB2312" w:eastAsia="仿宋_GB2312" w:cs="仿宋_GB2312"/>
          <w:sz w:val="32"/>
          <w:szCs w:val="32"/>
          <w:lang w:eastAsia="zh-CN"/>
        </w:rPr>
        <w:t>有</w:t>
      </w:r>
      <w:r>
        <w:rPr>
          <w:rFonts w:hint="eastAsia" w:ascii="仿宋_GB2312" w:hAnsi="仿宋_GB2312" w:eastAsia="仿宋_GB2312" w:cs="仿宋_GB2312"/>
          <w:sz w:val="32"/>
          <w:szCs w:val="32"/>
        </w:rPr>
        <w:t>无</w:t>
      </w:r>
      <w:r>
        <w:rPr>
          <w:rFonts w:hint="eastAsia" w:ascii="仿宋_GB2312" w:hAnsi="仿宋_GB2312" w:eastAsia="仿宋_GB2312" w:cs="仿宋_GB2312"/>
          <w:sz w:val="32"/>
          <w:szCs w:val="32"/>
          <w:lang w:eastAsia="zh-CN"/>
        </w:rPr>
        <w:t>需要</w:t>
      </w:r>
      <w:r>
        <w:rPr>
          <w:rFonts w:hint="eastAsia" w:ascii="仿宋_GB2312" w:hAnsi="仿宋_GB2312" w:eastAsia="仿宋_GB2312" w:cs="仿宋_GB2312"/>
          <w:sz w:val="32"/>
          <w:szCs w:val="32"/>
        </w:rPr>
        <w:t>修改、撤销或停止执行的现象。</w:t>
      </w:r>
      <w:r>
        <w:rPr>
          <w:rFonts w:hint="eastAsia" w:ascii="仿宋_GB2312" w:hAnsi="仿宋_GB2312" w:eastAsia="仿宋_GB2312" w:cs="仿宋_GB2312"/>
          <w:sz w:val="32"/>
          <w:szCs w:val="32"/>
          <w:lang w:eastAsia="zh-CN"/>
        </w:rPr>
        <w:t>根据</w:t>
      </w:r>
      <w:r>
        <w:rPr>
          <w:rFonts w:hint="eastAsia" w:ascii="仿宋_GB2312" w:hAnsi="仿宋_GB2312" w:eastAsia="仿宋_GB2312" w:cs="仿宋_GB2312"/>
          <w:sz w:val="32"/>
          <w:szCs w:val="32"/>
        </w:rPr>
        <w:t>《法治政府建设实施纲要(20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街道</w:t>
      </w:r>
      <w:r>
        <w:rPr>
          <w:rFonts w:hint="eastAsia" w:ascii="仿宋_GB2312" w:hAnsi="仿宋_GB2312" w:eastAsia="仿宋_GB2312" w:cs="仿宋_GB2312"/>
          <w:sz w:val="32"/>
          <w:szCs w:val="32"/>
        </w:rPr>
        <w:t>将法治建设纳入本单位发展总体规划和年度工作计划，</w:t>
      </w:r>
      <w:r>
        <w:rPr>
          <w:rFonts w:hint="eastAsia" w:ascii="仿宋_GB2312" w:hAnsi="仿宋_GB2312" w:eastAsia="仿宋_GB2312" w:cs="仿宋_GB2312"/>
          <w:sz w:val="32"/>
          <w:szCs w:val="32"/>
          <w:lang w:eastAsia="zh-CN"/>
        </w:rPr>
        <w:t>每个季度</w:t>
      </w:r>
      <w:r>
        <w:rPr>
          <w:rFonts w:hint="eastAsia" w:ascii="仿宋_GB2312" w:hAnsi="仿宋_GB2312" w:eastAsia="仿宋_GB2312" w:cs="仿宋_GB2312"/>
          <w:sz w:val="32"/>
          <w:szCs w:val="32"/>
          <w:lang w:val="en-US" w:eastAsia="zh-CN"/>
        </w:rPr>
        <w:t>对依法治街</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lang w:val="en-US" w:eastAsia="zh-CN"/>
        </w:rPr>
        <w:t>进行</w:t>
      </w:r>
      <w:r>
        <w:rPr>
          <w:rFonts w:hint="eastAsia" w:ascii="仿宋_GB2312" w:hAnsi="仿宋_GB2312" w:eastAsia="仿宋_GB2312" w:cs="仿宋_GB2312"/>
          <w:sz w:val="32"/>
          <w:szCs w:val="32"/>
          <w:lang w:eastAsia="zh-CN"/>
        </w:rPr>
        <w:t>绩效考核，</w:t>
      </w:r>
      <w:r>
        <w:rPr>
          <w:rFonts w:hint="eastAsia" w:ascii="仿宋_GB2312" w:hAnsi="仿宋_GB2312" w:eastAsia="仿宋_GB2312" w:cs="仿宋_GB2312"/>
          <w:sz w:val="32"/>
          <w:szCs w:val="32"/>
        </w:rPr>
        <w:t>与经济文化社会发展同部署、同推进、同督促、同奖惩。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sz w:val="32"/>
          <w:szCs w:val="32"/>
          <w:highlight w:val="none"/>
        </w:rPr>
      </w:pPr>
      <w:r>
        <w:rPr>
          <w:rFonts w:hint="eastAsia" w:ascii="楷体_GB2312" w:hAnsi="楷体_GB2312" w:eastAsia="楷体_GB2312" w:cs="楷体_GB2312"/>
          <w:b/>
          <w:bCs/>
          <w:sz w:val="32"/>
          <w:szCs w:val="32"/>
          <w:lang w:val="en-US" w:eastAsia="zh-CN"/>
        </w:rPr>
        <w:t>3.重视法治宣传教育培训及阵地建设。</w:t>
      </w:r>
      <w:r>
        <w:rPr>
          <w:rFonts w:hint="eastAsia" w:ascii="仿宋_GB2312" w:hAnsi="仿宋_GB2312" w:eastAsia="仿宋_GB2312" w:cs="仿宋_GB2312"/>
          <w:sz w:val="32"/>
          <w:szCs w:val="32"/>
          <w:highlight w:val="none"/>
        </w:rPr>
        <w:t>充分利用</w:t>
      </w:r>
      <w:r>
        <w:rPr>
          <w:rFonts w:hint="eastAsia" w:ascii="仿宋_GB2312" w:hAnsi="仿宋_GB2312" w:eastAsia="仿宋_GB2312" w:cs="仿宋_GB2312"/>
          <w:sz w:val="32"/>
          <w:szCs w:val="32"/>
          <w:highlight w:val="none"/>
          <w:lang w:val="en-US" w:eastAsia="zh-CN"/>
        </w:rPr>
        <w:t>重要时间节点及各类</w:t>
      </w:r>
      <w:r>
        <w:rPr>
          <w:rFonts w:hint="eastAsia" w:ascii="仿宋_GB2312" w:hAnsi="仿宋_GB2312" w:eastAsia="仿宋_GB2312" w:cs="仿宋_GB2312"/>
          <w:sz w:val="32"/>
          <w:szCs w:val="32"/>
          <w:highlight w:val="none"/>
        </w:rPr>
        <w:t>节日，开展法律法规宣传</w:t>
      </w:r>
      <w:r>
        <w:rPr>
          <w:rFonts w:hint="eastAsia" w:ascii="仿宋_GB2312" w:hAnsi="仿宋_GB2312" w:eastAsia="仿宋_GB2312" w:cs="仿宋_GB2312"/>
          <w:sz w:val="32"/>
          <w:szCs w:val="32"/>
          <w:highlight w:val="none"/>
          <w:lang w:val="en-US" w:eastAsia="zh-CN"/>
        </w:rPr>
        <w:t>教育培训</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全年度</w:t>
      </w:r>
      <w:r>
        <w:rPr>
          <w:rFonts w:hint="eastAsia" w:ascii="仿宋_GB2312" w:hAnsi="仿宋_GB2312" w:eastAsia="仿宋_GB2312" w:cs="仿宋_GB2312"/>
          <w:i w:val="0"/>
          <w:caps w:val="0"/>
          <w:color w:val="auto"/>
          <w:spacing w:val="0"/>
          <w:sz w:val="32"/>
          <w:szCs w:val="32"/>
          <w:highlight w:val="none"/>
          <w:shd w:val="clear" w:fill="FFFFFF"/>
        </w:rPr>
        <w:t>共举</w:t>
      </w:r>
      <w:r>
        <w:rPr>
          <w:rFonts w:hint="eastAsia" w:ascii="仿宋_GB2312" w:hAnsi="仿宋_GB2312" w:eastAsia="仿宋_GB2312" w:cs="仿宋_GB2312"/>
          <w:spacing w:val="6"/>
          <w:sz w:val="32"/>
          <w:szCs w:val="32"/>
          <w:highlight w:val="none"/>
          <w:lang w:val="en-US" w:eastAsia="zh-CN"/>
        </w:rPr>
        <w:t>办法治宣传活动400余场次，现场参与人数12000余人次；</w:t>
      </w:r>
      <w:r>
        <w:rPr>
          <w:rFonts w:hint="eastAsia" w:ascii="仿宋_GB2312" w:hAnsi="仿宋_GB2312" w:eastAsia="仿宋_GB2312" w:cs="仿宋_GB2312"/>
          <w:i w:val="0"/>
          <w:caps w:val="0"/>
          <w:color w:val="auto"/>
          <w:spacing w:val="0"/>
          <w:sz w:val="32"/>
          <w:szCs w:val="32"/>
          <w:highlight w:val="none"/>
          <w:shd w:val="clear" w:fill="FFFFFF"/>
        </w:rPr>
        <w:t>开</w:t>
      </w:r>
      <w:r>
        <w:rPr>
          <w:rFonts w:hint="eastAsia" w:ascii="仿宋_GB2312" w:hAnsi="仿宋_GB2312" w:eastAsia="仿宋_GB2312" w:cs="仿宋_GB2312"/>
          <w:spacing w:val="6"/>
          <w:sz w:val="32"/>
          <w:szCs w:val="32"/>
          <w:highlight w:val="none"/>
          <w:lang w:val="en-US" w:eastAsia="zh-CN"/>
        </w:rPr>
        <w:t>展各类法治教育讲座30余场次，听课人数5000余人次；</w:t>
      </w:r>
      <w:r>
        <w:rPr>
          <w:rFonts w:hint="eastAsia" w:ascii="仿宋_GB2312" w:hAnsi="仿宋_GB2312" w:eastAsia="仿宋_GB2312" w:cs="仿宋_GB2312"/>
          <w:i w:val="0"/>
          <w:caps w:val="0"/>
          <w:color w:val="auto"/>
          <w:spacing w:val="0"/>
          <w:sz w:val="32"/>
          <w:szCs w:val="32"/>
          <w:highlight w:val="none"/>
          <w:shd w:val="clear" w:fill="FFFFFF"/>
        </w:rPr>
        <w:t>发</w:t>
      </w:r>
      <w:r>
        <w:rPr>
          <w:rFonts w:hint="eastAsia" w:ascii="仿宋_GB2312" w:hAnsi="仿宋_GB2312" w:eastAsia="仿宋_GB2312" w:cs="仿宋_GB2312"/>
          <w:spacing w:val="6"/>
          <w:sz w:val="32"/>
          <w:szCs w:val="32"/>
          <w:highlight w:val="none"/>
          <w:lang w:val="en-US" w:eastAsia="zh-CN"/>
        </w:rPr>
        <w:t>放宪法、民法典、禁毒、交通安全、预防未成年人犯罪、</w:t>
      </w:r>
      <w:r>
        <w:rPr>
          <w:rFonts w:hint="eastAsia" w:ascii="仿宋_GB2312" w:hAnsi="仿宋_GB2312" w:eastAsia="仿宋_GB2312" w:cs="仿宋_GB2312"/>
          <w:i w:val="0"/>
          <w:caps w:val="0"/>
          <w:color w:val="auto"/>
          <w:spacing w:val="0"/>
          <w:sz w:val="32"/>
          <w:szCs w:val="32"/>
          <w:highlight w:val="none"/>
          <w:shd w:val="clear" w:fill="FFFFFF"/>
          <w:lang w:eastAsia="zh-CN"/>
        </w:rPr>
        <w:t>反诈骗、</w:t>
      </w:r>
      <w:r>
        <w:rPr>
          <w:rFonts w:hint="eastAsia" w:ascii="仿宋_GB2312" w:hAnsi="仿宋_GB2312" w:eastAsia="仿宋_GB2312" w:cs="仿宋_GB2312"/>
          <w:i w:val="0"/>
          <w:caps w:val="0"/>
          <w:color w:val="auto"/>
          <w:spacing w:val="0"/>
          <w:sz w:val="32"/>
          <w:szCs w:val="32"/>
          <w:highlight w:val="none"/>
          <w:shd w:val="clear" w:fill="FFFFFF"/>
          <w:lang w:val="en-US" w:eastAsia="zh-CN"/>
        </w:rPr>
        <w:t>扫黑除恶、</w:t>
      </w:r>
      <w:r>
        <w:rPr>
          <w:rFonts w:hint="eastAsia" w:ascii="仿宋_GB2312" w:hAnsi="仿宋_GB2312" w:eastAsia="仿宋_GB2312" w:cs="仿宋_GB2312"/>
          <w:i w:val="0"/>
          <w:caps w:val="0"/>
          <w:color w:val="auto"/>
          <w:spacing w:val="0"/>
          <w:sz w:val="32"/>
          <w:szCs w:val="32"/>
          <w:highlight w:val="none"/>
          <w:shd w:val="clear" w:fill="FFFFFF"/>
          <w:lang w:eastAsia="zh-CN"/>
        </w:rPr>
        <w:t>食品安全、</w:t>
      </w:r>
      <w:r>
        <w:rPr>
          <w:rFonts w:hint="eastAsia" w:ascii="仿宋_GB2312" w:hAnsi="仿宋_GB2312" w:eastAsia="仿宋_GB2312" w:cs="仿宋_GB2312"/>
          <w:i w:val="0"/>
          <w:caps w:val="0"/>
          <w:color w:val="auto"/>
          <w:spacing w:val="0"/>
          <w:sz w:val="32"/>
          <w:szCs w:val="32"/>
          <w:highlight w:val="none"/>
          <w:shd w:val="clear" w:fill="FFFFFF"/>
          <w:lang w:val="en-US" w:eastAsia="zh-CN"/>
        </w:rPr>
        <w:t>国家安全</w:t>
      </w:r>
      <w:r>
        <w:rPr>
          <w:rFonts w:hint="eastAsia" w:ascii="仿宋_GB2312" w:hAnsi="仿宋_GB2312" w:eastAsia="仿宋_GB2312" w:cs="仿宋_GB2312"/>
          <w:i w:val="0"/>
          <w:caps w:val="0"/>
          <w:color w:val="auto"/>
          <w:spacing w:val="0"/>
          <w:sz w:val="32"/>
          <w:szCs w:val="32"/>
          <w:highlight w:val="none"/>
          <w:shd w:val="clear" w:fill="FFFFFF"/>
          <w:lang w:eastAsia="zh-CN"/>
        </w:rPr>
        <w:t>等</w:t>
      </w:r>
      <w:r>
        <w:rPr>
          <w:rFonts w:hint="eastAsia" w:ascii="仿宋_GB2312" w:hAnsi="仿宋_GB2312" w:eastAsia="仿宋_GB2312" w:cs="仿宋_GB2312"/>
          <w:i w:val="0"/>
          <w:caps w:val="0"/>
          <w:color w:val="auto"/>
          <w:spacing w:val="0"/>
          <w:sz w:val="32"/>
          <w:szCs w:val="32"/>
          <w:highlight w:val="none"/>
          <w:shd w:val="clear" w:fill="FFFFFF"/>
        </w:rPr>
        <w:t>各类普法资料</w:t>
      </w:r>
      <w:r>
        <w:rPr>
          <w:rFonts w:hint="eastAsia" w:ascii="仿宋_GB2312" w:hAnsi="仿宋_GB2312" w:eastAsia="仿宋_GB2312" w:cs="仿宋_GB2312"/>
          <w:i w:val="0"/>
          <w:caps w:val="0"/>
          <w:color w:val="auto"/>
          <w:spacing w:val="0"/>
          <w:sz w:val="32"/>
          <w:szCs w:val="32"/>
          <w:highlight w:val="none"/>
          <w:shd w:val="clear" w:fill="FFFFFF"/>
          <w:lang w:val="en-US" w:eastAsia="zh-CN"/>
        </w:rPr>
        <w:t>6000</w:t>
      </w:r>
      <w:r>
        <w:rPr>
          <w:rFonts w:hint="eastAsia" w:ascii="仿宋_GB2312" w:hAnsi="仿宋_GB2312" w:eastAsia="仿宋_GB2312" w:cs="仿宋_GB2312"/>
          <w:i w:val="0"/>
          <w:caps w:val="0"/>
          <w:color w:val="auto"/>
          <w:spacing w:val="0"/>
          <w:sz w:val="32"/>
          <w:szCs w:val="32"/>
          <w:highlight w:val="none"/>
          <w:shd w:val="clear" w:fill="FFFFFF"/>
        </w:rPr>
        <w:t>余份，</w:t>
      </w:r>
      <w:r>
        <w:rPr>
          <w:rFonts w:hint="eastAsia" w:ascii="仿宋_GB2312" w:hAnsi="仿宋_GB2312" w:eastAsia="仿宋_GB2312" w:cs="仿宋_GB2312"/>
          <w:i w:val="0"/>
          <w:caps w:val="0"/>
          <w:color w:val="auto"/>
          <w:spacing w:val="0"/>
          <w:sz w:val="32"/>
          <w:szCs w:val="32"/>
          <w:highlight w:val="none"/>
          <w:shd w:val="clear" w:fill="FFFFFF"/>
          <w:lang w:val="en-US" w:eastAsia="zh-CN"/>
        </w:rPr>
        <w:t>张贴</w:t>
      </w:r>
      <w:r>
        <w:rPr>
          <w:rFonts w:hint="eastAsia" w:ascii="仿宋_GB2312" w:hAnsi="仿宋_GB2312" w:eastAsia="仿宋_GB2312" w:cs="仿宋_GB2312"/>
          <w:i w:val="0"/>
          <w:caps w:val="0"/>
          <w:color w:val="auto"/>
          <w:spacing w:val="0"/>
          <w:sz w:val="32"/>
          <w:szCs w:val="32"/>
          <w:highlight w:val="none"/>
          <w:shd w:val="clear" w:fill="FFFFFF"/>
        </w:rPr>
        <w:t>普法宣传</w:t>
      </w:r>
      <w:r>
        <w:rPr>
          <w:rFonts w:hint="eastAsia" w:ascii="仿宋_GB2312" w:hAnsi="仿宋_GB2312" w:eastAsia="仿宋_GB2312" w:cs="仿宋_GB2312"/>
          <w:i w:val="0"/>
          <w:caps w:val="0"/>
          <w:color w:val="auto"/>
          <w:spacing w:val="0"/>
          <w:sz w:val="32"/>
          <w:szCs w:val="32"/>
          <w:highlight w:val="none"/>
          <w:shd w:val="clear" w:fill="FFFFFF"/>
          <w:lang w:val="en-US" w:eastAsia="zh-CN"/>
        </w:rPr>
        <w:t>海报200余张</w:t>
      </w:r>
      <w:r>
        <w:rPr>
          <w:rFonts w:hint="eastAsia" w:ascii="仿宋_GB2312" w:hAnsi="仿宋_GB2312" w:eastAsia="仿宋_GB2312" w:cs="仿宋_GB2312"/>
          <w:i w:val="0"/>
          <w:caps w:val="0"/>
          <w:color w:val="auto"/>
          <w:spacing w:val="0"/>
          <w:sz w:val="32"/>
          <w:szCs w:val="32"/>
          <w:highlight w:val="none"/>
          <w:shd w:val="clear" w:fill="FFFFFF"/>
        </w:rPr>
        <w:t>，</w:t>
      </w:r>
      <w:r>
        <w:rPr>
          <w:rFonts w:hint="eastAsia" w:ascii="仿宋_GB2312" w:hAnsi="仿宋_GB2312" w:eastAsia="仿宋_GB2312" w:cs="仿宋_GB2312"/>
          <w:i w:val="0"/>
          <w:caps w:val="0"/>
          <w:color w:val="auto"/>
          <w:spacing w:val="0"/>
          <w:sz w:val="32"/>
          <w:szCs w:val="32"/>
          <w:highlight w:val="none"/>
          <w:shd w:val="clear" w:fill="FFFFFF"/>
          <w:lang w:val="en-US" w:eastAsia="zh-CN"/>
        </w:rPr>
        <w:t>制作</w:t>
      </w:r>
      <w:r>
        <w:rPr>
          <w:rFonts w:hint="eastAsia" w:ascii="仿宋_GB2312" w:hAnsi="仿宋_GB2312" w:eastAsia="仿宋_GB2312" w:cs="仿宋_GB2312"/>
          <w:i w:val="0"/>
          <w:caps w:val="0"/>
          <w:color w:val="auto"/>
          <w:spacing w:val="0"/>
          <w:sz w:val="32"/>
          <w:szCs w:val="32"/>
          <w:highlight w:val="none"/>
          <w:shd w:val="clear" w:fill="FFFFFF"/>
        </w:rPr>
        <w:t>法治宣传展板</w:t>
      </w:r>
      <w:r>
        <w:rPr>
          <w:rFonts w:hint="eastAsia" w:ascii="仿宋_GB2312" w:hAnsi="仿宋_GB2312" w:eastAsia="仿宋_GB2312" w:cs="仿宋_GB2312"/>
          <w:i w:val="0"/>
          <w:caps w:val="0"/>
          <w:color w:val="auto"/>
          <w:spacing w:val="0"/>
          <w:sz w:val="32"/>
          <w:szCs w:val="32"/>
          <w:highlight w:val="none"/>
          <w:shd w:val="clear" w:fill="FFFFFF"/>
          <w:lang w:val="en-US" w:eastAsia="zh-CN"/>
        </w:rPr>
        <w:t>20余</w:t>
      </w:r>
      <w:r>
        <w:rPr>
          <w:rFonts w:hint="eastAsia" w:ascii="仿宋_GB2312" w:hAnsi="仿宋_GB2312" w:eastAsia="仿宋_GB2312" w:cs="仿宋_GB2312"/>
          <w:i w:val="0"/>
          <w:caps w:val="0"/>
          <w:color w:val="auto"/>
          <w:spacing w:val="0"/>
          <w:sz w:val="32"/>
          <w:szCs w:val="32"/>
          <w:highlight w:val="none"/>
          <w:shd w:val="clear" w:fill="FFFFFF"/>
        </w:rPr>
        <w:t>张</w:t>
      </w:r>
      <w:r>
        <w:rPr>
          <w:rFonts w:hint="eastAsia" w:ascii="仿宋_GB2312" w:hAnsi="仿宋_GB2312" w:eastAsia="仿宋_GB2312" w:cs="仿宋_GB2312"/>
          <w:i w:val="0"/>
          <w:caps w:val="0"/>
          <w:color w:val="auto"/>
          <w:spacing w:val="0"/>
          <w:sz w:val="32"/>
          <w:szCs w:val="32"/>
          <w:highlight w:val="none"/>
          <w:shd w:val="clear" w:fill="FFFFFF"/>
          <w:lang w:val="en-US" w:eastAsia="zh-CN"/>
        </w:rPr>
        <w:t>,并利用辖区内100余块公共电子屏滚动播放相关宣传标语</w:t>
      </w:r>
      <w:r>
        <w:rPr>
          <w:rFonts w:hint="eastAsia" w:ascii="仿宋_GB2312" w:hAnsi="仿宋_GB2312" w:eastAsia="仿宋_GB2312" w:cs="仿宋_GB2312"/>
          <w:i w:val="0"/>
          <w:caps w:val="0"/>
          <w:color w:val="auto"/>
          <w:spacing w:val="0"/>
          <w:sz w:val="32"/>
          <w:szCs w:val="32"/>
          <w:highlight w:val="none"/>
          <w:shd w:val="clear" w:fill="FFFFFF"/>
        </w:rPr>
        <w:t>。</w:t>
      </w:r>
      <w:r>
        <w:rPr>
          <w:rFonts w:hint="eastAsia" w:ascii="仿宋_GB2312" w:hAnsi="仿宋_GB2312" w:eastAsia="仿宋_GB2312" w:cs="仿宋_GB2312"/>
          <w:sz w:val="32"/>
          <w:szCs w:val="32"/>
          <w:highlight w:val="none"/>
          <w:lang w:eastAsia="zh-CN"/>
        </w:rPr>
        <w:t>街道</w:t>
      </w:r>
      <w:r>
        <w:rPr>
          <w:rFonts w:hint="eastAsia" w:ascii="仿宋_GB2312" w:hAnsi="仿宋_GB2312" w:eastAsia="仿宋_GB2312" w:cs="仿宋_GB2312"/>
          <w:sz w:val="32"/>
          <w:szCs w:val="32"/>
          <w:highlight w:val="none"/>
        </w:rPr>
        <w:t>在</w:t>
      </w:r>
      <w:r>
        <w:rPr>
          <w:rFonts w:hint="eastAsia" w:ascii="仿宋_GB2312" w:hAnsi="仿宋_GB2312" w:eastAsia="仿宋_GB2312" w:cs="仿宋_GB2312"/>
          <w:sz w:val="32"/>
          <w:szCs w:val="32"/>
          <w:highlight w:val="none"/>
          <w:lang w:val="en-US" w:eastAsia="zh-CN"/>
        </w:rPr>
        <w:t>23个村（社区）公共服务中心</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rPr>
        <w:t>综合文化站(室)等</w:t>
      </w:r>
      <w:r>
        <w:rPr>
          <w:rFonts w:hint="eastAsia" w:ascii="仿宋_GB2312" w:hAnsi="仿宋_GB2312" w:eastAsia="仿宋_GB2312" w:cs="仿宋_GB2312"/>
          <w:sz w:val="32"/>
          <w:szCs w:val="32"/>
          <w:highlight w:val="none"/>
          <w:lang w:eastAsia="zh-CN"/>
        </w:rPr>
        <w:t>场所</w:t>
      </w:r>
      <w:r>
        <w:rPr>
          <w:rFonts w:hint="eastAsia" w:ascii="仿宋_GB2312" w:hAnsi="仿宋_GB2312" w:eastAsia="仿宋_GB2312" w:cs="仿宋_GB2312"/>
          <w:sz w:val="32"/>
          <w:szCs w:val="32"/>
          <w:highlight w:val="none"/>
          <w:lang w:val="en-US" w:eastAsia="zh-CN"/>
        </w:rPr>
        <w:t>均</w:t>
      </w:r>
      <w:r>
        <w:rPr>
          <w:rFonts w:hint="eastAsia" w:ascii="仿宋_GB2312" w:hAnsi="仿宋_GB2312" w:eastAsia="仿宋_GB2312" w:cs="仿宋_GB2312"/>
          <w:sz w:val="32"/>
          <w:szCs w:val="32"/>
          <w:highlight w:val="none"/>
        </w:rPr>
        <w:t>配备</w:t>
      </w:r>
      <w:r>
        <w:rPr>
          <w:rFonts w:hint="eastAsia" w:ascii="仿宋_GB2312" w:hAnsi="仿宋_GB2312" w:eastAsia="仿宋_GB2312" w:cs="仿宋_GB2312"/>
          <w:sz w:val="32"/>
          <w:szCs w:val="32"/>
          <w:highlight w:val="none"/>
          <w:lang w:eastAsia="zh-CN"/>
        </w:rPr>
        <w:t>了</w:t>
      </w:r>
      <w:r>
        <w:rPr>
          <w:rFonts w:hint="eastAsia" w:ascii="仿宋_GB2312" w:hAnsi="仿宋_GB2312" w:eastAsia="仿宋_GB2312" w:cs="仿宋_GB2312"/>
          <w:sz w:val="32"/>
          <w:szCs w:val="32"/>
          <w:highlight w:val="none"/>
        </w:rPr>
        <w:t>法律法规类图书</w:t>
      </w:r>
      <w:r>
        <w:rPr>
          <w:rFonts w:hint="eastAsia" w:ascii="仿宋_GB2312" w:hAnsi="仿宋_GB2312" w:eastAsia="仿宋_GB2312" w:cs="仿宋_GB2312"/>
          <w:sz w:val="32"/>
          <w:szCs w:val="32"/>
          <w:highlight w:val="none"/>
          <w:lang w:eastAsia="zh-CN"/>
        </w:rPr>
        <w:t>和</w:t>
      </w:r>
      <w:r>
        <w:rPr>
          <w:rFonts w:hint="eastAsia" w:ascii="仿宋_GB2312" w:hAnsi="仿宋_GB2312" w:eastAsia="仿宋_GB2312" w:cs="仿宋_GB2312"/>
          <w:sz w:val="32"/>
          <w:szCs w:val="32"/>
          <w:highlight w:val="none"/>
        </w:rPr>
        <w:t>报刊，供</w:t>
      </w:r>
      <w:r>
        <w:rPr>
          <w:rFonts w:hint="eastAsia" w:ascii="仿宋_GB2312" w:hAnsi="仿宋_GB2312" w:eastAsia="仿宋_GB2312" w:cs="仿宋_GB2312"/>
          <w:sz w:val="32"/>
          <w:szCs w:val="32"/>
          <w:highlight w:val="none"/>
          <w:lang w:val="en-US" w:eastAsia="zh-CN"/>
        </w:rPr>
        <w:t>群众</w:t>
      </w:r>
      <w:r>
        <w:rPr>
          <w:rFonts w:hint="eastAsia" w:ascii="仿宋_GB2312" w:hAnsi="仿宋_GB2312" w:eastAsia="仿宋_GB2312" w:cs="仿宋_GB2312"/>
          <w:sz w:val="32"/>
          <w:szCs w:val="32"/>
          <w:highlight w:val="none"/>
        </w:rPr>
        <w:t>免费阅读</w:t>
      </w:r>
      <w:r>
        <w:rPr>
          <w:rFonts w:hint="eastAsia" w:ascii="仿宋_GB2312" w:hAnsi="仿宋_GB2312" w:eastAsia="仿宋_GB2312" w:cs="仿宋_GB2312"/>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二、</w:t>
      </w:r>
      <w:r>
        <w:rPr>
          <w:rFonts w:hint="eastAsia" w:ascii="黑体" w:hAnsi="黑体" w:eastAsia="黑体" w:cs="黑体"/>
          <w:sz w:val="32"/>
          <w:szCs w:val="32"/>
          <w:highlight w:val="none"/>
          <w:lang w:eastAsia="zh-CN"/>
        </w:rPr>
        <w:t>202</w:t>
      </w:r>
      <w:r>
        <w:rPr>
          <w:rFonts w:hint="eastAsia" w:ascii="黑体" w:hAnsi="黑体" w:eastAsia="黑体" w:cs="黑体"/>
          <w:sz w:val="32"/>
          <w:szCs w:val="32"/>
          <w:highlight w:val="none"/>
          <w:lang w:val="en-US" w:eastAsia="zh-CN"/>
        </w:rPr>
        <w:t>5</w:t>
      </w:r>
      <w:r>
        <w:rPr>
          <w:rFonts w:hint="eastAsia" w:ascii="黑体" w:hAnsi="黑体" w:eastAsia="黑体" w:cs="黑体"/>
          <w:sz w:val="32"/>
          <w:szCs w:val="32"/>
          <w:highlight w:val="none"/>
          <w:lang w:eastAsia="zh-CN"/>
        </w:rPr>
        <w:t>年度</w:t>
      </w:r>
      <w:r>
        <w:rPr>
          <w:rFonts w:hint="eastAsia" w:ascii="黑体" w:hAnsi="黑体" w:eastAsia="黑体" w:cs="黑体"/>
          <w:sz w:val="32"/>
          <w:szCs w:val="32"/>
          <w:lang w:eastAsia="zh-CN"/>
        </w:rPr>
        <w:t>推进法治政府建设存在的不足和原因</w:t>
      </w:r>
    </w:p>
    <w:p>
      <w:pPr>
        <w:keepNext w:val="0"/>
        <w:keepLines w:val="0"/>
        <w:pageBreakBefore w:val="0"/>
        <w:widowControl w:val="0"/>
        <w:kinsoku/>
        <w:wordWrap/>
        <w:overflowPunct/>
        <w:topLinePunct w:val="0"/>
        <w:autoSpaceDE/>
        <w:autoSpaceDN/>
        <w:bidi w:val="0"/>
        <w:adjustRightInd/>
        <w:snapToGrid/>
        <w:spacing w:line="560" w:lineRule="exact"/>
        <w:ind w:firstLine="620" w:firstLineChars="200"/>
        <w:jc w:val="both"/>
        <w:textAlignment w:val="auto"/>
        <w:outlineLvl w:val="9"/>
        <w:rPr>
          <w:rFonts w:hint="eastAsia" w:ascii="黑体" w:hAnsi="黑体" w:eastAsia="黑体" w:cs="黑体"/>
          <w:sz w:val="32"/>
          <w:szCs w:val="32"/>
          <w:lang w:val="en-US" w:eastAsia="zh-CN"/>
        </w:rPr>
      </w:pPr>
      <w:r>
        <w:rPr>
          <w:rFonts w:ascii="仿宋_GB2312" w:hAnsi="宋体" w:eastAsia="仿宋_GB2312" w:cs="仿宋_GB2312"/>
          <w:i w:val="0"/>
          <w:caps w:val="0"/>
          <w:color w:val="000000"/>
          <w:spacing w:val="0"/>
          <w:sz w:val="31"/>
          <w:szCs w:val="31"/>
          <w:shd w:val="clear" w:fill="FFFFFF"/>
        </w:rPr>
        <w:t>今年以来，</w:t>
      </w:r>
      <w:r>
        <w:rPr>
          <w:rFonts w:hint="eastAsia" w:ascii="仿宋_GB2312" w:hAnsi="宋体" w:eastAsia="仿宋_GB2312" w:cs="仿宋_GB2312"/>
          <w:i w:val="0"/>
          <w:caps w:val="0"/>
          <w:color w:val="000000"/>
          <w:spacing w:val="0"/>
          <w:sz w:val="31"/>
          <w:szCs w:val="31"/>
          <w:shd w:val="clear" w:fill="FFFFFF"/>
          <w:lang w:eastAsia="zh-CN"/>
        </w:rPr>
        <w:t>高塘岭街道</w:t>
      </w:r>
      <w:r>
        <w:rPr>
          <w:rFonts w:ascii="仿宋_GB2312" w:hAnsi="宋体" w:eastAsia="仿宋_GB2312" w:cs="仿宋_GB2312"/>
          <w:i w:val="0"/>
          <w:caps w:val="0"/>
          <w:color w:val="000000"/>
          <w:spacing w:val="0"/>
          <w:sz w:val="31"/>
          <w:szCs w:val="31"/>
          <w:shd w:val="clear" w:fill="FFFFFF"/>
        </w:rPr>
        <w:t>法治</w:t>
      </w:r>
      <w:r>
        <w:rPr>
          <w:rFonts w:hint="eastAsia" w:ascii="仿宋_GB2312" w:hAnsi="宋体" w:eastAsia="仿宋_GB2312" w:cs="仿宋_GB2312"/>
          <w:i w:val="0"/>
          <w:caps w:val="0"/>
          <w:color w:val="000000"/>
          <w:spacing w:val="0"/>
          <w:sz w:val="31"/>
          <w:szCs w:val="31"/>
          <w:shd w:val="clear" w:fill="FFFFFF"/>
          <w:lang w:eastAsia="zh-CN"/>
        </w:rPr>
        <w:t>政府</w:t>
      </w:r>
      <w:r>
        <w:rPr>
          <w:rFonts w:ascii="仿宋_GB2312" w:hAnsi="宋体" w:eastAsia="仿宋_GB2312" w:cs="仿宋_GB2312"/>
          <w:i w:val="0"/>
          <w:caps w:val="0"/>
          <w:color w:val="000000"/>
          <w:spacing w:val="0"/>
          <w:sz w:val="31"/>
          <w:szCs w:val="31"/>
          <w:shd w:val="clear" w:fill="FFFFFF"/>
        </w:rPr>
        <w:t>建设虽然取得了一些成效，但仍存在一些问题和不足，主要表现在：</w:t>
      </w:r>
      <w:r>
        <w:rPr>
          <w:rFonts w:ascii="仿宋_GB2312" w:hAnsi="宋体" w:eastAsia="仿宋_GB2312" w:cs="仿宋_GB2312"/>
          <w:b/>
          <w:bCs/>
          <w:i w:val="0"/>
          <w:caps w:val="0"/>
          <w:color w:val="000000"/>
          <w:spacing w:val="0"/>
          <w:sz w:val="31"/>
          <w:szCs w:val="31"/>
          <w:shd w:val="clear" w:fill="FFFFFF"/>
        </w:rPr>
        <w:t>一是</w:t>
      </w:r>
      <w:r>
        <w:rPr>
          <w:rFonts w:ascii="仿宋_GB2312" w:hAnsi="宋体" w:eastAsia="仿宋_GB2312" w:cs="仿宋_GB2312"/>
          <w:i w:val="0"/>
          <w:caps w:val="0"/>
          <w:color w:val="000000"/>
          <w:spacing w:val="0"/>
          <w:sz w:val="31"/>
          <w:szCs w:val="31"/>
          <w:shd w:val="clear" w:fill="FFFFFF"/>
        </w:rPr>
        <w:t>法治工作队伍仍需加强，</w:t>
      </w:r>
      <w:r>
        <w:rPr>
          <w:rFonts w:hint="eastAsia" w:ascii="仿宋_GB2312" w:hAnsi="宋体" w:eastAsia="仿宋_GB2312" w:cs="仿宋_GB2312"/>
          <w:i w:val="0"/>
          <w:caps w:val="0"/>
          <w:color w:val="000000"/>
          <w:spacing w:val="0"/>
          <w:sz w:val="31"/>
          <w:szCs w:val="31"/>
          <w:shd w:val="clear" w:fill="FFFFFF"/>
          <w:lang w:eastAsia="zh-CN"/>
        </w:rPr>
        <w:t>工作人员在</w:t>
      </w:r>
      <w:r>
        <w:rPr>
          <w:rFonts w:ascii="仿宋_GB2312" w:hAnsi="宋体" w:eastAsia="仿宋_GB2312" w:cs="仿宋_GB2312"/>
          <w:i w:val="0"/>
          <w:caps w:val="0"/>
          <w:color w:val="000000"/>
          <w:spacing w:val="0"/>
          <w:sz w:val="31"/>
          <w:szCs w:val="31"/>
          <w:shd w:val="clear" w:fill="FFFFFF"/>
        </w:rPr>
        <w:t>法学理论、法治意识和法治思维等方面不能完全满足法治政府建设的要求，依法行政能力和水平有待进一步加强；</w:t>
      </w:r>
      <w:r>
        <w:rPr>
          <w:rFonts w:ascii="仿宋_GB2312" w:hAnsi="宋体" w:eastAsia="仿宋_GB2312" w:cs="仿宋_GB2312"/>
          <w:b/>
          <w:bCs/>
          <w:i w:val="0"/>
          <w:caps w:val="0"/>
          <w:color w:val="000000"/>
          <w:spacing w:val="0"/>
          <w:sz w:val="31"/>
          <w:szCs w:val="31"/>
          <w:shd w:val="clear" w:fill="FFFFFF"/>
        </w:rPr>
        <w:t>二是</w:t>
      </w:r>
      <w:r>
        <w:rPr>
          <w:rFonts w:ascii="仿宋_GB2312" w:hAnsi="宋体" w:eastAsia="仿宋_GB2312" w:cs="仿宋_GB2312"/>
          <w:i w:val="0"/>
          <w:caps w:val="0"/>
          <w:color w:val="000000"/>
          <w:spacing w:val="0"/>
          <w:sz w:val="31"/>
          <w:szCs w:val="31"/>
          <w:shd w:val="clear" w:fill="FFFFFF"/>
        </w:rPr>
        <w:t>普法工作形式创新不足，法治宣传仍然较多采取日常宣讲与主题日活动相结合的方式，</w:t>
      </w:r>
      <w:r>
        <w:rPr>
          <w:rFonts w:hint="eastAsia" w:ascii="仿宋_GB2312" w:hAnsi="宋体" w:eastAsia="仿宋_GB2312" w:cs="仿宋_GB2312"/>
          <w:i w:val="0"/>
          <w:caps w:val="0"/>
          <w:color w:val="000000"/>
          <w:spacing w:val="0"/>
          <w:sz w:val="31"/>
          <w:szCs w:val="31"/>
          <w:shd w:val="clear" w:fill="FFFFFF"/>
          <w:lang w:eastAsia="zh-CN"/>
        </w:rPr>
        <w:t>线上宣传效果不够显著</w:t>
      </w:r>
      <w:r>
        <w:rPr>
          <w:rFonts w:ascii="仿宋_GB2312" w:hAnsi="宋体" w:eastAsia="仿宋_GB2312" w:cs="仿宋_GB2312"/>
          <w:i w:val="0"/>
          <w:caps w:val="0"/>
          <w:color w:val="000000"/>
          <w:spacing w:val="0"/>
          <w:sz w:val="31"/>
          <w:szCs w:val="31"/>
          <w:shd w:val="clear" w:fill="FFFFFF"/>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黑体" w:hAnsi="黑体" w:eastAsia="黑体" w:cs="黑体"/>
          <w:sz w:val="32"/>
          <w:szCs w:val="32"/>
          <w:lang w:val="en-US" w:eastAsia="zh-CN"/>
        </w:rPr>
        <w:t>三、</w:t>
      </w:r>
      <w:r>
        <w:rPr>
          <w:rFonts w:hint="default" w:ascii="黑体" w:hAnsi="黑体" w:eastAsia="黑体" w:cs="黑体"/>
          <w:sz w:val="32"/>
          <w:szCs w:val="32"/>
          <w:lang w:val="en-US" w:eastAsia="zh-CN"/>
        </w:rPr>
        <w:t>202</w:t>
      </w:r>
      <w:r>
        <w:rPr>
          <w:rFonts w:hint="eastAsia" w:ascii="黑体" w:hAnsi="黑体" w:eastAsia="黑体" w:cs="黑体"/>
          <w:sz w:val="32"/>
          <w:szCs w:val="32"/>
          <w:lang w:val="en-US" w:eastAsia="zh-CN"/>
        </w:rPr>
        <w:t>5</w:t>
      </w:r>
      <w:r>
        <w:rPr>
          <w:rFonts w:hint="default" w:ascii="黑体" w:hAnsi="黑体" w:eastAsia="黑体" w:cs="黑体"/>
          <w:sz w:val="32"/>
          <w:szCs w:val="32"/>
          <w:lang w:val="en-US" w:eastAsia="zh-CN"/>
        </w:rPr>
        <w:t>年党政主要负责人履行推进法治建设第一责任人职责，加强法治政府建设的有关情况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1.紧抓法律顾问团队建设。</w:t>
      </w:r>
      <w:r>
        <w:rPr>
          <w:rFonts w:hint="eastAsia" w:ascii="仿宋_GB2312" w:hAnsi="仿宋_GB2312" w:eastAsia="仿宋_GB2312" w:cs="仿宋_GB2312"/>
          <w:sz w:val="32"/>
          <w:szCs w:val="32"/>
          <w:lang w:val="en-US" w:eastAsia="zh-CN"/>
        </w:rPr>
        <w:t>一是扎实开展法律顾问季度考评，根据收集的村（社区）意见，驻村（社区）法律顾问定期到村（社区），并根据考评结果来划分委托区域</w:t>
      </w:r>
      <w:r>
        <w:rPr>
          <w:rFonts w:hint="eastAsia" w:ascii="仿宋_GB2312" w:hAnsi="仿宋_GB2312" w:eastAsia="仿宋_GB2312" w:cs="仿宋_GB2312"/>
          <w:spacing w:val="6"/>
          <w:sz w:val="32"/>
          <w:szCs w:val="32"/>
          <w:lang w:val="en-US" w:eastAsia="zh-CN"/>
        </w:rPr>
        <w:t>大小。二是将原有的单一法律顾问更换为综合律师团队，</w:t>
      </w:r>
      <w:r>
        <w:rPr>
          <w:rFonts w:hint="eastAsia" w:ascii="仿宋_GB2312" w:hAnsi="仿宋_GB2312" w:eastAsia="仿宋_GB2312" w:cs="仿宋_GB2312"/>
          <w:sz w:val="32"/>
          <w:szCs w:val="32"/>
          <w:highlight w:val="none"/>
          <w:lang w:val="en-US" w:eastAsia="zh-CN"/>
        </w:rPr>
        <w:t>并</w:t>
      </w:r>
      <w:r>
        <w:rPr>
          <w:rFonts w:hint="eastAsia" w:ascii="仿宋_GB2312" w:hAnsi="仿宋_GB2312" w:eastAsia="仿宋_GB2312" w:cs="仿宋_GB2312"/>
          <w:spacing w:val="6"/>
          <w:sz w:val="32"/>
          <w:szCs w:val="32"/>
          <w:lang w:val="en-US" w:eastAsia="zh-CN"/>
        </w:rPr>
        <w:t>通过团队对街道2025年全部的决策事项、规范性文件、</w:t>
      </w:r>
      <w:r>
        <w:rPr>
          <w:rFonts w:hint="eastAsia" w:ascii="仿宋_GB2312" w:hAnsi="仿宋_GB2312" w:eastAsia="仿宋_GB2312" w:cs="仿宋_GB2312"/>
          <w:sz w:val="32"/>
          <w:szCs w:val="32"/>
          <w:highlight w:val="none"/>
          <w:lang w:val="en-US" w:eastAsia="zh-CN"/>
        </w:rPr>
        <w:t>合同协议进行合法性审查。</w:t>
      </w:r>
      <w:r>
        <w:rPr>
          <w:rFonts w:hint="eastAsia" w:ascii="仿宋_GB2312" w:hAnsi="仿宋_GB2312" w:eastAsia="仿宋_GB2312" w:cs="仿宋_GB2312"/>
          <w:sz w:val="32"/>
          <w:szCs w:val="32"/>
          <w:lang w:val="en-US" w:eastAsia="zh-CN"/>
        </w:rPr>
        <w:t>力争让法律手段</w:t>
      </w:r>
      <w:r>
        <w:rPr>
          <w:rFonts w:hint="eastAsia" w:ascii="仿宋_GB2312" w:hAnsi="仿宋_GB2312" w:eastAsia="仿宋_GB2312" w:cs="仿宋_GB2312"/>
          <w:sz w:val="32"/>
          <w:szCs w:val="32"/>
          <w:lang w:eastAsia="zh-CN"/>
        </w:rPr>
        <w:t>在</w:t>
      </w:r>
      <w:r>
        <w:rPr>
          <w:rFonts w:hint="eastAsia" w:ascii="仿宋_GB2312" w:hAnsi="仿宋_GB2312" w:eastAsia="仿宋_GB2312" w:cs="仿宋_GB2312"/>
          <w:sz w:val="32"/>
          <w:szCs w:val="32"/>
          <w:lang w:val="en-US" w:eastAsia="zh-CN"/>
        </w:rPr>
        <w:t>依法行政、</w:t>
      </w:r>
      <w:r>
        <w:rPr>
          <w:rFonts w:hint="eastAsia" w:ascii="仿宋_GB2312" w:hAnsi="仿宋_GB2312" w:eastAsia="仿宋_GB2312" w:cs="仿宋_GB2312"/>
          <w:sz w:val="32"/>
          <w:szCs w:val="32"/>
        </w:rPr>
        <w:t>防范化解风险</w:t>
      </w:r>
      <w:r>
        <w:rPr>
          <w:rFonts w:hint="eastAsia" w:ascii="仿宋_GB2312" w:hAnsi="仿宋_GB2312" w:eastAsia="仿宋_GB2312" w:cs="仿宋_GB2312"/>
          <w:sz w:val="32"/>
          <w:szCs w:val="32"/>
          <w:lang w:eastAsia="zh-CN"/>
        </w:rPr>
        <w:t>、纠纷排查维稳</w:t>
      </w:r>
      <w:r>
        <w:rPr>
          <w:rFonts w:hint="eastAsia" w:ascii="仿宋_GB2312" w:hAnsi="仿宋_GB2312" w:eastAsia="仿宋_GB2312" w:cs="仿宋_GB2312"/>
          <w:sz w:val="32"/>
          <w:szCs w:val="32"/>
          <w:lang w:val="en-US" w:eastAsia="zh-CN"/>
        </w:rPr>
        <w:t>等工作中发挥更大作用</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2.狠抓党风廉政建设，提升政府信息公开水平。</w:t>
      </w:r>
      <w:r>
        <w:rPr>
          <w:rFonts w:hint="eastAsia" w:ascii="仿宋_GB2312" w:hAnsi="仿宋_GB2312" w:eastAsia="仿宋_GB2312" w:cs="仿宋_GB2312"/>
          <w:sz w:val="32"/>
          <w:szCs w:val="32"/>
          <w:lang w:val="en-US" w:eastAsia="zh-CN"/>
        </w:rPr>
        <w:t>完善</w:t>
      </w:r>
      <w:r>
        <w:rPr>
          <w:rFonts w:hint="eastAsia" w:ascii="仿宋_GB2312" w:hAnsi="仿宋_GB2312" w:eastAsia="仿宋_GB2312" w:cs="仿宋_GB2312"/>
          <w:sz w:val="32"/>
          <w:szCs w:val="32"/>
        </w:rPr>
        <w:t>领导干部述职述廉</w:t>
      </w:r>
      <w:r>
        <w:rPr>
          <w:rFonts w:hint="eastAsia" w:ascii="仿宋_GB2312" w:hAnsi="仿宋_GB2312" w:eastAsia="仿宋_GB2312" w:cs="仿宋_GB2312"/>
          <w:sz w:val="32"/>
          <w:szCs w:val="32"/>
          <w:lang w:eastAsia="zh-CN"/>
        </w:rPr>
        <w:t>述法</w:t>
      </w:r>
      <w:r>
        <w:rPr>
          <w:rFonts w:hint="eastAsia" w:ascii="仿宋_GB2312" w:hAnsi="仿宋_GB2312" w:eastAsia="仿宋_GB2312" w:cs="仿宋_GB2312"/>
          <w:sz w:val="32"/>
          <w:szCs w:val="32"/>
        </w:rPr>
        <w:t>制度和重大事项报告制度，严格落实党风廉政建设责任制，</w:t>
      </w:r>
      <w:r>
        <w:rPr>
          <w:rFonts w:hint="eastAsia" w:ascii="仿宋_GB2312" w:hAnsi="仿宋_GB2312" w:eastAsia="仿宋_GB2312" w:cs="仿宋_GB2312"/>
          <w:sz w:val="32"/>
          <w:szCs w:val="32"/>
          <w:lang w:eastAsia="zh-CN"/>
        </w:rPr>
        <w:t>安排纪工委定期督查街道依法行政、廉洁从政、政务公开等方面的工作情况，发现问题即在街道通报</w:t>
      </w:r>
      <w:r>
        <w:rPr>
          <w:rFonts w:hint="eastAsia" w:ascii="仿宋_GB2312" w:hAnsi="仿宋_GB2312" w:eastAsia="仿宋_GB2312" w:cs="仿宋_GB2312"/>
          <w:spacing w:val="6"/>
          <w:sz w:val="32"/>
          <w:szCs w:val="32"/>
          <w:lang w:val="en-US" w:eastAsia="zh-CN"/>
        </w:rPr>
        <w:t>。定期维护高塘岭街道办事处门户网站，围绕财政预算、</w:t>
      </w:r>
      <w:r>
        <w:rPr>
          <w:rFonts w:hint="eastAsia" w:ascii="Times New Roman" w:hAnsi="Times New Roman" w:eastAsia="仿宋_GB2312" w:cs="Times New Roman"/>
          <w:sz w:val="32"/>
          <w:szCs w:val="32"/>
        </w:rPr>
        <w:t>重大项目审批和实施、社会公益事业建设</w:t>
      </w:r>
      <w:r>
        <w:rPr>
          <w:rFonts w:hint="eastAsia" w:ascii="仿宋_GB2312" w:hAnsi="仿宋_GB2312" w:eastAsia="仿宋_GB2312" w:cs="仿宋_GB2312"/>
          <w:sz w:val="32"/>
          <w:szCs w:val="32"/>
        </w:rPr>
        <w:t>等重点领域加大政府信息公开力度</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both"/>
        <w:textAlignment w:val="auto"/>
        <w:outlineLvl w:val="9"/>
        <w:rPr>
          <w:rFonts w:hint="eastAsia" w:ascii="仿宋_GB2312" w:hAnsi="仿宋_GB2312" w:eastAsia="仿宋_GB2312" w:cs="仿宋_GB2312"/>
          <w:sz w:val="32"/>
          <w:szCs w:val="32"/>
        </w:rPr>
      </w:pPr>
      <w:r>
        <w:rPr>
          <w:rFonts w:hint="eastAsia" w:ascii="楷体_GB2312" w:hAnsi="楷体_GB2312" w:eastAsia="楷体_GB2312" w:cs="楷体_GB2312"/>
          <w:b/>
          <w:bCs/>
          <w:sz w:val="32"/>
          <w:szCs w:val="32"/>
          <w:lang w:val="en-US" w:eastAsia="zh-CN"/>
        </w:rPr>
        <w:t>3.严格落实行政执法三项制度。</w:t>
      </w:r>
      <w:r>
        <w:rPr>
          <w:rFonts w:hint="eastAsia" w:ascii="仿宋_GB2312" w:hAnsi="仿宋_GB2312" w:eastAsia="仿宋_GB2312" w:cs="仿宋_GB2312"/>
          <w:sz w:val="32"/>
          <w:szCs w:val="32"/>
          <w:lang w:val="en-US" w:eastAsia="zh-CN"/>
        </w:rPr>
        <w:t>街道结合实际，制定行政</w:t>
      </w:r>
      <w:r>
        <w:rPr>
          <w:rFonts w:hint="eastAsia" w:ascii="仿宋_GB2312" w:hAnsi="仿宋_GB2312" w:eastAsia="仿宋_GB2312" w:cs="仿宋_GB2312"/>
          <w:spacing w:val="6"/>
          <w:sz w:val="32"/>
          <w:szCs w:val="32"/>
          <w:lang w:val="en-US" w:eastAsia="zh-CN"/>
        </w:rPr>
        <w:t>执法公示具体办法，明确执法公示的范围、内容、程序、</w:t>
      </w:r>
      <w:r>
        <w:rPr>
          <w:rFonts w:hint="eastAsia" w:ascii="仿宋_GB2312" w:hAnsi="仿宋_GB2312" w:eastAsia="仿宋_GB2312" w:cs="仿宋_GB2312"/>
          <w:sz w:val="32"/>
          <w:szCs w:val="32"/>
          <w:lang w:val="en-US" w:eastAsia="zh-CN"/>
        </w:rPr>
        <w:t>时限、监督方式和保障措施等事项；</w:t>
      </w:r>
      <w:r>
        <w:rPr>
          <w:rFonts w:hint="eastAsia" w:ascii="仿宋_GB2312" w:hAnsi="仿宋_GB2312" w:eastAsia="仿宋_GB2312" w:cs="仿宋_GB2312"/>
          <w:sz w:val="32"/>
          <w:szCs w:val="32"/>
        </w:rPr>
        <w:t>执法人员在行政执法过程中，</w:t>
      </w:r>
      <w:r>
        <w:rPr>
          <w:rFonts w:hint="eastAsia" w:ascii="仿宋_GB2312" w:hAnsi="仿宋_GB2312" w:eastAsia="仿宋_GB2312" w:cs="仿宋_GB2312"/>
          <w:sz w:val="32"/>
          <w:szCs w:val="32"/>
          <w:lang w:val="en-US" w:eastAsia="zh-CN"/>
        </w:rPr>
        <w:t>必须</w:t>
      </w:r>
      <w:r>
        <w:rPr>
          <w:rFonts w:hint="eastAsia" w:ascii="仿宋_GB2312" w:hAnsi="仿宋_GB2312" w:eastAsia="仿宋_GB2312" w:cs="仿宋_GB2312"/>
          <w:sz w:val="32"/>
          <w:szCs w:val="32"/>
        </w:rPr>
        <w:t>对日常巡查、调查取证、文书送达、行政强制</w:t>
      </w:r>
      <w:r>
        <w:rPr>
          <w:rFonts w:hint="eastAsia" w:ascii="仿宋_GB2312" w:hAnsi="仿宋_GB2312" w:eastAsia="仿宋_GB2312" w:cs="仿宋_GB2312"/>
          <w:sz w:val="32"/>
          <w:szCs w:val="32"/>
          <w:lang w:eastAsia="zh-CN"/>
        </w:rPr>
        <w:t>执行</w:t>
      </w:r>
      <w:r>
        <w:rPr>
          <w:rFonts w:hint="eastAsia" w:ascii="仿宋_GB2312" w:hAnsi="仿宋_GB2312" w:eastAsia="仿宋_GB2312" w:cs="仿宋_GB2312"/>
          <w:sz w:val="32"/>
          <w:szCs w:val="32"/>
        </w:rPr>
        <w:t>等行政执法活动进行</w:t>
      </w:r>
      <w:r>
        <w:rPr>
          <w:rFonts w:hint="eastAsia" w:ascii="仿宋_GB2312" w:hAnsi="仿宋_GB2312" w:eastAsia="仿宋_GB2312" w:cs="仿宋_GB2312"/>
          <w:sz w:val="32"/>
          <w:szCs w:val="32"/>
          <w:lang w:val="en-US" w:eastAsia="zh-CN"/>
        </w:rPr>
        <w:t>详细的</w:t>
      </w:r>
      <w:r>
        <w:rPr>
          <w:rFonts w:hint="eastAsia" w:ascii="仿宋_GB2312" w:hAnsi="仿宋_GB2312" w:eastAsia="仿宋_GB2312" w:cs="仿宋_GB2312"/>
          <w:sz w:val="32"/>
          <w:szCs w:val="32"/>
        </w:rPr>
        <w:t>动态记录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建立健全政府法律顾问协助参与法制审核工作机制，</w:t>
      </w:r>
      <w:r>
        <w:rPr>
          <w:rFonts w:hint="eastAsia" w:ascii="仿宋_GB2312" w:hAnsi="仿宋_GB2312" w:eastAsia="仿宋_GB2312" w:cs="仿宋_GB2312"/>
          <w:sz w:val="32"/>
          <w:szCs w:val="32"/>
          <w:lang w:val="en-US" w:eastAsia="zh-CN"/>
        </w:rPr>
        <w:t>街道在</w:t>
      </w:r>
      <w:r>
        <w:rPr>
          <w:rFonts w:hint="eastAsia" w:ascii="仿宋_GB2312" w:hAnsi="仿宋_GB2312" w:eastAsia="仿宋_GB2312" w:cs="仿宋_GB2312"/>
          <w:sz w:val="32"/>
          <w:szCs w:val="32"/>
        </w:rPr>
        <w:t>作出重大执法决定前，</w:t>
      </w:r>
      <w:r>
        <w:rPr>
          <w:rFonts w:hint="eastAsia" w:ascii="仿宋_GB2312" w:hAnsi="仿宋_GB2312" w:eastAsia="仿宋_GB2312" w:cs="仿宋_GB2312"/>
          <w:sz w:val="32"/>
          <w:szCs w:val="32"/>
          <w:lang w:val="en-US" w:eastAsia="zh-CN"/>
        </w:rPr>
        <w:t>必须经过</w:t>
      </w:r>
      <w:r>
        <w:rPr>
          <w:rFonts w:hint="eastAsia" w:ascii="仿宋_GB2312" w:hAnsi="仿宋_GB2312" w:eastAsia="仿宋_GB2312" w:cs="仿宋_GB2312"/>
          <w:sz w:val="32"/>
          <w:szCs w:val="32"/>
        </w:rPr>
        <w:t>法律顾问</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lang w:val="en-US" w:eastAsia="zh-CN"/>
        </w:rPr>
        <w:t>合法性审查</w:t>
      </w:r>
      <w:r>
        <w:rPr>
          <w:rFonts w:hint="eastAsia" w:ascii="仿宋_GB2312" w:hAnsi="仿宋_GB2312" w:eastAsia="仿宋_GB2312" w:cs="仿宋_GB2312"/>
          <w:sz w:val="32"/>
          <w:szCs w:val="32"/>
        </w:rPr>
        <w:t>，审核未通过的，不得作出决定，促进严格规范公正执法。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黑体" w:hAnsi="黑体" w:eastAsia="黑体" w:cs="黑体"/>
          <w:i w:val="0"/>
          <w:caps w:val="0"/>
          <w:color w:val="000000"/>
          <w:spacing w:val="0"/>
          <w:sz w:val="32"/>
          <w:szCs w:val="32"/>
        </w:rPr>
      </w:pPr>
      <w:r>
        <w:rPr>
          <w:rFonts w:hint="eastAsia" w:ascii="黑体" w:hAnsi="黑体" w:eastAsia="黑体" w:cs="黑体"/>
          <w:i w:val="0"/>
          <w:caps w:val="0"/>
          <w:color w:val="000000"/>
          <w:spacing w:val="0"/>
          <w:sz w:val="32"/>
          <w:szCs w:val="32"/>
          <w:lang w:val="en-US" w:eastAsia="zh-CN"/>
        </w:rPr>
        <w:t>四、</w:t>
      </w:r>
      <w:r>
        <w:rPr>
          <w:rFonts w:hint="eastAsia" w:ascii="黑体" w:hAnsi="黑体" w:eastAsia="黑体" w:cs="黑体"/>
          <w:i w:val="0"/>
          <w:caps w:val="0"/>
          <w:color w:val="000000"/>
          <w:spacing w:val="0"/>
          <w:sz w:val="32"/>
          <w:szCs w:val="32"/>
        </w:rPr>
        <w:t>下一步工作计划</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1.大力推行依法行政责任制。</w:t>
      </w:r>
      <w:r>
        <w:rPr>
          <w:rFonts w:hint="eastAsia" w:ascii="仿宋_GB2312" w:hAnsi="仿宋_GB2312" w:eastAsia="仿宋_GB2312" w:cs="仿宋_GB2312"/>
          <w:sz w:val="32"/>
          <w:szCs w:val="32"/>
          <w:lang w:val="en-US" w:eastAsia="zh-CN"/>
        </w:rPr>
        <w:t>以习近平法治思想为引领，积极开展依法行政评议考核工作，将考核结果作为评定领导干部政绩的重要内容和考核行政执法人员的重要依据，全面落实党中央关于依法治国的工作要求。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2.扎实推进“互联网+政务服务”。</w:t>
      </w:r>
      <w:r>
        <w:rPr>
          <w:rFonts w:hint="eastAsia" w:ascii="仿宋_GB2312" w:hAnsi="仿宋_GB2312" w:eastAsia="仿宋_GB2312" w:cs="仿宋_GB2312"/>
          <w:sz w:val="32"/>
          <w:szCs w:val="32"/>
          <w:lang w:val="en-US" w:eastAsia="zh-CN"/>
        </w:rPr>
        <w:t>进一步通过门户网站、宣传栏等形式，定期公开街道重点工作和民生实事项目内容，切实保障群众的知情权、参与权和监督权。</w:t>
      </w:r>
      <w:r>
        <w:rPr>
          <w:rFonts w:hint="eastAsia" w:ascii="仿宋_GB2312" w:hAnsi="仿宋_GB2312" w:eastAsia="仿宋_GB2312" w:cs="仿宋_GB2312"/>
          <w:color w:val="auto"/>
          <w:sz w:val="32"/>
          <w:szCs w:val="32"/>
          <w:highlight w:val="none"/>
          <w:lang w:val="en-US" w:eastAsia="zh-CN"/>
        </w:rPr>
        <w:t>落实为民服务全程代理机制，推动更多服务事项“一窗办成”，让数据多跑路，企业和群众办事少跑腿。</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3.深入开展法治宣传教育。</w:t>
      </w:r>
      <w:r>
        <w:rPr>
          <w:rFonts w:hint="eastAsia" w:ascii="仿宋_GB2312" w:hAnsi="仿宋_GB2312" w:eastAsia="仿宋_GB2312" w:cs="仿宋_GB2312"/>
          <w:sz w:val="32"/>
          <w:szCs w:val="32"/>
          <w:lang w:val="en-US" w:eastAsia="zh-CN"/>
        </w:rPr>
        <w:t>结合重要时间节点与工作实际，制定年度普法计划，不断创新宣传载体和形式，开展形式多样的法治宣传教育活动，努力增强法律法规宣传的针对性和实效性，加强群众法律意识，营造良好的法治氛围。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right"/>
        <w:textAlignment w:val="auto"/>
        <w:rPr>
          <w:rFonts w:hint="eastAsia" w:ascii="楷体_GB2312" w:hAnsi="楷体_GB2312" w:eastAsia="楷体_GB2312" w:cs="楷体_GB2312"/>
          <w:b/>
          <w:bCs/>
          <w:sz w:val="32"/>
          <w:szCs w:val="32"/>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right"/>
        <w:textAlignment w:val="auto"/>
        <w:rPr>
          <w:rFonts w:hint="eastAsia" w:ascii="楷体_GB2312" w:hAnsi="楷体_GB2312" w:eastAsia="楷体_GB2312" w:cs="楷体_GB2312"/>
          <w:b/>
          <w:bCs/>
          <w:sz w:val="32"/>
          <w:szCs w:val="32"/>
          <w:lang w:val="en-US" w:eastAsia="zh-CN"/>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长沙市望城区高塘岭街道办事处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2026年1月10日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FmMDJiMWI0ZTgzM2JmYmNhZDZlYWM4MzBjMThiMTgifQ=="/>
  </w:docVars>
  <w:rsids>
    <w:rsidRoot w:val="277654C4"/>
    <w:rsid w:val="01743A09"/>
    <w:rsid w:val="07DC3482"/>
    <w:rsid w:val="085561A8"/>
    <w:rsid w:val="0B6025AF"/>
    <w:rsid w:val="17053D6B"/>
    <w:rsid w:val="172327A3"/>
    <w:rsid w:val="172D4652"/>
    <w:rsid w:val="1832202E"/>
    <w:rsid w:val="1A441CBC"/>
    <w:rsid w:val="21A40480"/>
    <w:rsid w:val="256B10EF"/>
    <w:rsid w:val="26280B3A"/>
    <w:rsid w:val="277654C4"/>
    <w:rsid w:val="27E70619"/>
    <w:rsid w:val="284B29A2"/>
    <w:rsid w:val="2AAF16FA"/>
    <w:rsid w:val="2B565026"/>
    <w:rsid w:val="2FCB3B1E"/>
    <w:rsid w:val="2FF67705"/>
    <w:rsid w:val="33D24125"/>
    <w:rsid w:val="343321EB"/>
    <w:rsid w:val="389672D4"/>
    <w:rsid w:val="3FFD211E"/>
    <w:rsid w:val="427D3AB8"/>
    <w:rsid w:val="427D5899"/>
    <w:rsid w:val="42E43514"/>
    <w:rsid w:val="48A70B8C"/>
    <w:rsid w:val="4AB57AF3"/>
    <w:rsid w:val="4B0B75A5"/>
    <w:rsid w:val="504A288E"/>
    <w:rsid w:val="55FE1812"/>
    <w:rsid w:val="583A0084"/>
    <w:rsid w:val="5ADC30C6"/>
    <w:rsid w:val="5D0475D6"/>
    <w:rsid w:val="5EDD1769"/>
    <w:rsid w:val="5FFE8418"/>
    <w:rsid w:val="6C0536EA"/>
    <w:rsid w:val="6F8E7546"/>
    <w:rsid w:val="6FE91565"/>
    <w:rsid w:val="7055606C"/>
    <w:rsid w:val="72D06CD0"/>
    <w:rsid w:val="7F692608"/>
    <w:rsid w:val="7F850C12"/>
    <w:rsid w:val="7FD971A7"/>
    <w:rsid w:val="B77EE8E4"/>
    <w:rsid w:val="DFDB932C"/>
    <w:rsid w:val="FDD6E928"/>
    <w:rsid w:val="FFF71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line="270" w:lineRule="atLeast"/>
      <w:ind w:left="0" w:right="0"/>
      <w:jc w:val="left"/>
    </w:pPr>
    <w:rPr>
      <w:kern w:val="0"/>
      <w:sz w:val="24"/>
      <w:lang w:val="en-US" w:eastAsia="zh-CN" w:bidi="ar"/>
    </w:rPr>
  </w:style>
  <w:style w:type="character" w:styleId="5">
    <w:name w:val="FollowedHyperlink"/>
    <w:basedOn w:val="4"/>
    <w:qFormat/>
    <w:uiPriority w:val="0"/>
    <w:rPr>
      <w:color w:val="222222"/>
      <w:u w:val="none"/>
    </w:rPr>
  </w:style>
  <w:style w:type="character" w:styleId="6">
    <w:name w:val="Hyperlink"/>
    <w:basedOn w:val="4"/>
    <w:qFormat/>
    <w:uiPriority w:val="0"/>
    <w:rPr>
      <w:color w:val="2222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1983</Words>
  <Characters>2042</Characters>
  <Lines>0</Lines>
  <Paragraphs>0</Paragraphs>
  <TotalTime>3</TotalTime>
  <ScaleCrop>false</ScaleCrop>
  <LinksUpToDate>false</LinksUpToDate>
  <CharactersWithSpaces>2063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2021-10-22T19:23:00Z</dcterms:created>
  <dc:creator>18692249295</dc:creator>
  <cp:lastModifiedBy>李娜</cp:lastModifiedBy>
  <cp:lastPrinted>2024-01-30T01:54:00Z</cp:lastPrinted>
  <dcterms:modified xsi:type="dcterms:W3CDTF">2026-01-13T07:52:36Z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568A8A32AD72434AB2323DF862722FF7_13</vt:lpwstr>
  </property>
  <property fmtid="{D5CDD505-2E9C-101B-9397-08002B2CF9AE}" pid="4" name="KSOTemplateDocerSaveRecord">
    <vt:lpwstr>eyJoZGlkIjoiNjgwNmVmNjgwZWVjNzIwMzQ2MjFjZjE5Y2M0Yzk3ODMiLCJ1c2VySWQiOiI1ODYwMTc4MDkifQ==</vt:lpwstr>
  </property>
</Properties>
</file>