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520" w:lineRule="exact"/>
        <w:rPr>
          <w:rFonts w:ascii="Times New Roman" w:hAnsi="Times New Roman" w:eastAsia="华文中宋"/>
          <w:spacing w:val="20"/>
          <w:sz w:val="52"/>
          <w:szCs w:val="52"/>
        </w:rPr>
      </w:pPr>
    </w:p>
    <w:p>
      <w:pPr>
        <w:spacing w:line="1200" w:lineRule="exact"/>
        <w:jc w:val="center"/>
        <w:rPr>
          <w:rFonts w:hint="eastAsia" w:ascii="仿宋" w:hAnsi="仿宋" w:eastAsia="仿宋" w:cs="仿宋"/>
          <w:b/>
          <w:bCs/>
          <w:spacing w:val="20"/>
          <w:sz w:val="72"/>
          <w:szCs w:val="72"/>
        </w:rPr>
      </w:pPr>
      <w:r>
        <w:rPr>
          <w:rFonts w:hint="eastAsia" w:ascii="仿宋" w:hAnsi="仿宋" w:eastAsia="仿宋" w:cs="仿宋"/>
          <w:b/>
          <w:bCs/>
          <w:spacing w:val="20"/>
          <w:sz w:val="72"/>
          <w:szCs w:val="72"/>
          <w:lang w:val="en-US" w:eastAsia="zh-CN"/>
        </w:rPr>
        <w:t>望城区茶亭镇</w:t>
      </w:r>
      <w:r>
        <w:rPr>
          <w:rFonts w:hint="eastAsia" w:ascii="仿宋" w:hAnsi="仿宋" w:eastAsia="仿宋" w:cs="仿宋"/>
          <w:b/>
          <w:bCs/>
          <w:spacing w:val="20"/>
          <w:sz w:val="72"/>
          <w:szCs w:val="72"/>
        </w:rPr>
        <w:t>基层</w:t>
      </w:r>
    </w:p>
    <w:p>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政务公开标准目录汇编</w:t>
      </w:r>
    </w:p>
    <w:p>
      <w:pPr>
        <w:spacing w:line="1520" w:lineRule="exact"/>
        <w:rPr>
          <w:rFonts w:ascii="Times New Roman" w:hAnsi="Times New Roman" w:eastAsia="华文中宋"/>
          <w:spacing w:val="20"/>
          <w:sz w:val="52"/>
          <w:szCs w:val="52"/>
        </w:rPr>
      </w:pPr>
    </w:p>
    <w:p>
      <w:pPr>
        <w:jc w:val="center"/>
        <w:rPr>
          <w:rFonts w:ascii="Times New Roman" w:hAnsi="Times New Roman" w:eastAsia="方正小标宋_GBK"/>
          <w:sz w:val="28"/>
          <w:szCs w:val="28"/>
        </w:rPr>
      </w:pPr>
    </w:p>
    <w:p>
      <w:pPr>
        <w:jc w:val="center"/>
        <w:rPr>
          <w:rFonts w:ascii="Times New Roman" w:hAnsi="Times New Roman" w:eastAsia="华文中宋"/>
          <w:sz w:val="48"/>
          <w:szCs w:val="48"/>
        </w:rPr>
      </w:pPr>
    </w:p>
    <w:p>
      <w:pPr>
        <w:jc w:val="center"/>
        <w:rPr>
          <w:rFonts w:ascii="Times New Roman" w:hAnsi="Times New Roman" w:eastAsia="华文中宋"/>
          <w:sz w:val="48"/>
          <w:szCs w:val="48"/>
        </w:rPr>
      </w:pPr>
    </w:p>
    <w:p>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pPr>
        <w:pStyle w:val="5"/>
        <w:ind w:left="31680" w:right="31680"/>
        <w:rPr>
          <w:rStyle w:val="8"/>
          <w:rFonts w:ascii="Times New Roman" w:hAnsi="Times New Roman" w:eastAsia="黑体"/>
          <w:color w:val="000000" w:themeColor="text1"/>
          <w:sz w:val="30"/>
          <w:szCs w:val="30"/>
          <w14:textFill>
            <w14:solidFill>
              <w14:schemeClr w14:val="tx1"/>
            </w14:solidFill>
          </w14:textFill>
        </w:rPr>
      </w:pPr>
      <w:r>
        <w:rPr>
          <w:rStyle w:val="8"/>
          <w:rFonts w:ascii="Times New Roman" w:hAnsi="Times New Roman" w:eastAsia="黑体"/>
          <w:color w:val="000000" w:themeColor="text1"/>
          <w:sz w:val="30"/>
          <w:szCs w:val="30"/>
          <w14:textFill>
            <w14:solidFill>
              <w14:schemeClr w14:val="tx1"/>
            </w14:solidFill>
          </w14:textFill>
        </w:rPr>
        <w:fldChar w:fldCharType="begin"/>
      </w:r>
      <w:r>
        <w:rPr>
          <w:rStyle w:val="8"/>
          <w:rFonts w:ascii="Times New Roman" w:hAnsi="Times New Roman" w:eastAsia="黑体"/>
          <w:color w:val="000000" w:themeColor="text1"/>
          <w:sz w:val="30"/>
          <w:szCs w:val="30"/>
          <w14:textFill>
            <w14:solidFill>
              <w14:schemeClr w14:val="tx1"/>
            </w14:solidFill>
          </w14:textFill>
        </w:rPr>
        <w:instrText xml:space="preserve"> TOC \o "1-3" \h \z \u </w:instrText>
      </w:r>
      <w:r>
        <w:rPr>
          <w:rStyle w:val="8"/>
          <w:rFonts w:ascii="Times New Roman" w:hAnsi="Times New Roman" w:eastAsia="黑体"/>
          <w:color w:val="000000" w:themeColor="text1"/>
          <w:sz w:val="30"/>
          <w:szCs w:val="30"/>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"_Toc22496"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（一）义务教育领域基层政务公开标准目录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3</w:t>
      </w:r>
    </w:p>
    <w:p>
      <w:pPr>
        <w:pStyle w:val="5"/>
        <w:ind w:left="31680" w:right="31680"/>
        <w:rPr>
          <w:rStyle w:val="8"/>
          <w:rFonts w:hint="eastAsia"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"_Toc28722"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二</w:t>
      </w:r>
      <w:r>
        <w:rPr>
          <w:rStyle w:val="8"/>
          <w:rFonts w:hint="eastAsia" w:ascii="Times New Roman" w:hAnsi="Times New Roman" w:eastAsia="黑体"/>
          <w:color w:val="000000" w:themeColor="text1"/>
          <w:sz w:val="30"/>
          <w:szCs w:val="30"/>
          <w14:textFill>
            <w14:solidFill>
              <w14:schemeClr w14:val="tx1"/>
            </w14:solidFill>
          </w14:textFill>
        </w:rPr>
        <w:t>）社会救助领域基层政务公开标准目录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w:t>
      </w:r>
    </w:p>
    <w:p>
      <w:pPr>
        <w:pStyle w:val="5"/>
        <w:ind w:left="31680" w:right="31680"/>
        <w:rPr>
          <w:rStyle w:val="8"/>
          <w:rFonts w:hint="eastAsia"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"_Toc21169"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三</w:t>
      </w:r>
      <w:r>
        <w:rPr>
          <w:rStyle w:val="8"/>
          <w:rFonts w:hint="eastAsia" w:ascii="Times New Roman" w:hAnsi="Times New Roman" w:eastAsia="黑体"/>
          <w:color w:val="000000" w:themeColor="text1"/>
          <w:sz w:val="30"/>
          <w:szCs w:val="30"/>
          <w14:textFill>
            <w14:solidFill>
              <w14:schemeClr w14:val="tx1"/>
            </w14:solidFill>
          </w14:textFill>
        </w:rPr>
        <w:t>）养老服务领域基层政务公开标准目录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7</w:t>
      </w:r>
    </w:p>
    <w:p>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"_Toc2976"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四</w:t>
      </w:r>
      <w:r>
        <w:rPr>
          <w:rStyle w:val="8"/>
          <w:rFonts w:hint="eastAsia" w:ascii="Times New Roman" w:hAnsi="Times New Roman" w:eastAsia="黑体"/>
          <w:color w:val="000000" w:themeColor="text1"/>
          <w:sz w:val="30"/>
          <w:szCs w:val="30"/>
          <w14:textFill>
            <w14:solidFill>
              <w14:schemeClr w14:val="tx1"/>
            </w14:solidFill>
          </w14:textFill>
        </w:rPr>
        <w:t>）公共法律服务领域基层政务公开标准目录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9</w:t>
      </w:r>
    </w:p>
    <w:p>
      <w:pPr>
        <w:pStyle w:val="5"/>
        <w:ind w:left="31680" w:right="31680"/>
        <w:rPr>
          <w:rStyle w:val="8"/>
          <w:rFonts w:hint="eastAsia"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"_Toc17968"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五</w:t>
      </w:r>
      <w:r>
        <w:rPr>
          <w:rStyle w:val="8"/>
          <w:rFonts w:hint="eastAsia" w:ascii="Times New Roman" w:hAnsi="Times New Roman" w:eastAsia="黑体"/>
          <w:color w:val="000000" w:themeColor="text1"/>
          <w:sz w:val="30"/>
          <w:szCs w:val="30"/>
          <w14:textFill>
            <w14:solidFill>
              <w14:schemeClr w14:val="tx1"/>
            </w14:solidFill>
          </w14:textFill>
        </w:rPr>
        <w:t>）就业领域基层政务公开标准目录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1</w:t>
      </w:r>
      <w:r>
        <w:rPr>
          <w:rStyle w:val="8"/>
          <w:rFonts w:hint="eastAsia" w:ascii="Times New Roman" w:hAnsi="Times New Roman" w:eastAsia="黑体"/>
          <w:color w:val="000000" w:themeColor="text1"/>
          <w:sz w:val="30"/>
          <w:szCs w:val="30"/>
          <w:lang w:val="en-US" w:eastAsia="zh-CN"/>
          <w14:textFill>
            <w14:solidFill>
              <w14:schemeClr w14:val="tx1"/>
            </w14:solidFill>
          </w14:textFill>
        </w:rPr>
        <w:t>0</w:t>
      </w:r>
    </w:p>
    <w:p>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"_Toc27704"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六</w:t>
      </w:r>
      <w:r>
        <w:rPr>
          <w:rStyle w:val="8"/>
          <w:rFonts w:hint="eastAsia" w:ascii="Times New Roman" w:hAnsi="Times New Roman" w:eastAsia="黑体"/>
          <w:color w:val="000000" w:themeColor="text1"/>
          <w:sz w:val="30"/>
          <w:szCs w:val="30"/>
          <w14:textFill>
            <w14:solidFill>
              <w14:schemeClr w14:val="tx1"/>
            </w14:solidFill>
          </w14:textFill>
        </w:rPr>
        <w:t>）社会保险领域基层政务公开标准目录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2</w:t>
      </w:r>
      <w:r>
        <w:rPr>
          <w:rStyle w:val="8"/>
          <w:rFonts w:ascii="Times New Roman" w:hAnsi="Times New Roman" w:eastAsia="黑体"/>
          <w:color w:val="000000" w:themeColor="text1"/>
          <w:sz w:val="30"/>
          <w:szCs w:val="30"/>
          <w14:textFill>
            <w14:solidFill>
              <w14:schemeClr w14:val="tx1"/>
            </w14:solidFill>
          </w14:textFill>
        </w:rPr>
        <w:t>1</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"_Toc24697"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七</w:t>
      </w:r>
      <w:r>
        <w:rPr>
          <w:rStyle w:val="8"/>
          <w:rFonts w:hint="eastAsia" w:ascii="Times New Roman" w:hAnsi="Times New Roman" w:eastAsia="黑体"/>
          <w:color w:val="000000" w:themeColor="text1"/>
          <w:sz w:val="30"/>
          <w:szCs w:val="30"/>
          <w14:textFill>
            <w14:solidFill>
              <w14:schemeClr w14:val="tx1"/>
            </w14:solidFill>
          </w14:textFill>
        </w:rPr>
        <w:t>）安全生产领域基层政务公开标准目录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40</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"_Toc2518"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八</w:t>
      </w:r>
      <w:r>
        <w:rPr>
          <w:rStyle w:val="8"/>
          <w:rFonts w:hint="eastAsia" w:ascii="Times New Roman" w:hAnsi="Times New Roman" w:eastAsia="黑体"/>
          <w:color w:val="000000" w:themeColor="text1"/>
          <w:sz w:val="30"/>
          <w:szCs w:val="30"/>
          <w14:textFill>
            <w14:solidFill>
              <w14:schemeClr w14:val="tx1"/>
            </w14:solidFill>
          </w14:textFill>
        </w:rPr>
        <w:t>）救灾领域基层政务公开标准目录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43</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九</w:t>
      </w:r>
      <w:r>
        <w:rPr>
          <w:rStyle w:val="8"/>
          <w:rFonts w:hint="eastAsia" w:ascii="Times New Roman" w:hAnsi="Times New Roman" w:eastAsia="黑体"/>
          <w:color w:val="000000" w:themeColor="text1"/>
          <w:sz w:val="30"/>
          <w:szCs w:val="30"/>
          <w14:textFill>
            <w14:solidFill>
              <w14:schemeClr w14:val="tx1"/>
            </w14:solidFill>
          </w14:textFill>
        </w:rPr>
        <w:t>）食品药品监管领域基层政务公开标准目录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45</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w:t>
      </w:r>
      <w:r>
        <w:rPr>
          <w:rStyle w:val="8"/>
          <w:rFonts w:hint="eastAsia" w:ascii="Times New Roman" w:hAnsi="Times New Roman" w:eastAsia="黑体"/>
          <w:color w:val="000000" w:themeColor="text1"/>
          <w:sz w:val="30"/>
          <w:szCs w:val="30"/>
          <w14:textFill>
            <w14:solidFill>
              <w14:schemeClr w14:val="tx1"/>
            </w14:solidFill>
          </w14:textFill>
        </w:rPr>
        <w:t>）涉农补贴领域基层政务公开标准目录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49</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十一</w:t>
      </w:r>
      <w:r>
        <w:rPr>
          <w:rStyle w:val="8"/>
          <w:rFonts w:hint="eastAsia" w:ascii="Times New Roman" w:hAnsi="Times New Roman" w:eastAsia="黑体"/>
          <w:color w:val="000000" w:themeColor="text1"/>
          <w:sz w:val="30"/>
          <w:szCs w:val="30"/>
          <w14:textFill>
            <w14:solidFill>
              <w14:schemeClr w14:val="tx1"/>
            </w14:solidFill>
          </w14:textFill>
        </w:rPr>
        <w:t>）卫生健康领域基层政务公开标准目录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50</w:t>
      </w:r>
    </w:p>
    <w:p>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十二</w:t>
      </w:r>
      <w:r>
        <w:rPr>
          <w:rStyle w:val="8"/>
          <w:rFonts w:hint="eastAsia" w:ascii="Times New Roman" w:hAnsi="Times New Roman" w:eastAsia="黑体"/>
          <w:color w:val="000000" w:themeColor="text1"/>
          <w:sz w:val="30"/>
          <w:szCs w:val="30"/>
          <w14:textFill>
            <w14:solidFill>
              <w14:schemeClr w14:val="tx1"/>
            </w14:solidFill>
          </w14:textFill>
        </w:rPr>
        <w:t>）农村集体土地征收领域基层政务公开目录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5</w:t>
      </w:r>
      <w:r>
        <w:rPr>
          <w:rStyle w:val="8"/>
          <w:rFonts w:ascii="Times New Roman" w:hAnsi="Times New Roman" w:eastAsia="黑体"/>
          <w:color w:val="000000" w:themeColor="text1"/>
          <w:sz w:val="30"/>
          <w:szCs w:val="30"/>
          <w14:textFill>
            <w14:solidFill>
              <w14:schemeClr w14:val="tx1"/>
            </w14:solidFill>
          </w14:textFill>
        </w:rPr>
        <w:t>2</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十三</w:t>
      </w:r>
      <w:r>
        <w:rPr>
          <w:rStyle w:val="8"/>
          <w:rFonts w:hint="eastAsia" w:ascii="Times New Roman" w:hAnsi="Times New Roman" w:eastAsia="黑体"/>
          <w:color w:val="000000" w:themeColor="text1"/>
          <w:sz w:val="30"/>
          <w:szCs w:val="30"/>
          <w14:textFill>
            <w14:solidFill>
              <w14:schemeClr w14:val="tx1"/>
            </w14:solidFill>
          </w14:textFill>
        </w:rPr>
        <w:t>）扶贫领域基层政务公开目录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58</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十四</w:t>
      </w:r>
      <w:r>
        <w:rPr>
          <w:rStyle w:val="8"/>
          <w:rFonts w:hint="eastAsia" w:ascii="Times New Roman" w:hAnsi="Times New Roman" w:eastAsia="黑体"/>
          <w:color w:val="000000" w:themeColor="text1"/>
          <w:sz w:val="30"/>
          <w:szCs w:val="30"/>
          <w14:textFill>
            <w14:solidFill>
              <w14:schemeClr w14:val="tx1"/>
            </w14:solidFill>
          </w14:textFill>
        </w:rPr>
        <w:t>）公共文化服务领域基层政务公开目录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64</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十五</w:t>
      </w:r>
      <w:r>
        <w:rPr>
          <w:rStyle w:val="8"/>
          <w:rFonts w:hint="eastAsia" w:ascii="Times New Roman" w:hAnsi="Times New Roman" w:eastAsia="黑体"/>
          <w:color w:val="000000" w:themeColor="text1"/>
          <w:sz w:val="30"/>
          <w:szCs w:val="30"/>
          <w14:textFill>
            <w14:solidFill>
              <w14:schemeClr w14:val="tx1"/>
            </w14:solidFill>
          </w14:textFill>
        </w:rPr>
        <w:t>）城市综合执法领域基层政务公开目录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69</w:t>
      </w:r>
    </w:p>
    <w:p>
      <w:pPr>
        <w:rPr>
          <w:rFonts w:hint="eastAsia"/>
          <w:lang w:eastAsia="zh-CN"/>
        </w:rPr>
      </w:pPr>
    </w:p>
    <w:p>
      <w:pPr>
        <w:spacing w:line="700" w:lineRule="exact"/>
        <w:ind w:firstLine="300" w:firstLineChars="100"/>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pPr>
      <w:r>
        <w:rPr>
          <w:rStyle w:val="8"/>
          <w:rFonts w:ascii="Times New Roman" w:hAnsi="Times New Roman" w:eastAsia="黑体"/>
          <w:color w:val="000000" w:themeColor="text1"/>
          <w:sz w:val="30"/>
          <w:szCs w:val="30"/>
          <w14:textFill>
            <w14:solidFill>
              <w14:schemeClr w14:val="tx1"/>
            </w14:solidFill>
          </w14:textFill>
        </w:rPr>
        <w:fldChar w:fldCharType="end"/>
      </w:r>
    </w:p>
    <w:p>
      <w:pPr>
        <w:spacing w:line="700" w:lineRule="exact"/>
        <w:ind w:firstLine="300" w:firstLineChars="100"/>
        <w:rPr>
          <w:rStyle w:val="8"/>
          <w:rFonts w:hint="default" w:ascii="Times New Roman" w:hAnsi="Times New Roman" w:eastAsia="黑体"/>
          <w:color w:val="000000" w:themeColor="text1"/>
          <w:sz w:val="30"/>
          <w:szCs w:val="30"/>
          <w:u w:val="none"/>
          <w:lang w:val="en-US" w:eastAsia="zh-CN"/>
          <w14:textFill>
            <w14:solidFill>
              <w14:schemeClr w14:val="tx1"/>
            </w14:solidFill>
          </w14:textFill>
        </w:rPr>
      </w:pPr>
    </w:p>
    <w:p>
      <w:pPr>
        <w:spacing w:line="700" w:lineRule="exact"/>
        <w:ind w:firstLine="300" w:firstLineChars="100"/>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pPr>
    </w:p>
    <w:p>
      <w:pPr>
        <w:spacing w:line="700" w:lineRule="exact"/>
        <w:ind w:firstLine="300" w:firstLineChars="100"/>
        <w:rPr>
          <w:rStyle w:val="8"/>
          <w:rFonts w:hint="eastAsia" w:ascii="Times New Roman" w:hAnsi="Times New Roman" w:eastAsia="黑体"/>
          <w:color w:val="auto"/>
          <w:sz w:val="30"/>
          <w:szCs w:val="30"/>
          <w:u w:val="none"/>
          <w:lang w:val="en-US" w:eastAsia="zh-CN"/>
        </w:rPr>
      </w:pPr>
    </w:p>
    <w:p>
      <w:pPr>
        <w:spacing w:line="700" w:lineRule="exact"/>
        <w:ind w:firstLine="300" w:firstLineChars="100"/>
        <w:rPr>
          <w:rStyle w:val="8"/>
          <w:rFonts w:hint="eastAsia" w:ascii="Times New Roman" w:hAnsi="Times New Roman" w:eastAsia="黑体"/>
          <w:color w:val="auto"/>
          <w:sz w:val="30"/>
          <w:szCs w:val="30"/>
          <w:u w:val="none"/>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p>
    <w:p>
      <w:pPr>
        <w:pStyle w:val="2"/>
        <w:jc w:val="center"/>
        <w:rPr>
          <w:rFonts w:ascii="Times New Roman" w:hAnsi="Times New Roman" w:eastAsia="方正小标宋_GBK"/>
          <w:sz w:val="30"/>
        </w:rPr>
      </w:pPr>
      <w:bookmarkStart w:id="0"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pPr>
              <w:widowControl/>
              <w:jc w:val="center"/>
              <w:rPr>
                <w:rFonts w:ascii="Times New Roman" w:hAnsi="Times New Roman" w:eastAsia="黑体" w:cs="宋体"/>
                <w:kern w:val="0"/>
                <w:sz w:val="22"/>
              </w:rPr>
            </w:pPr>
          </w:p>
        </w:tc>
        <w:tc>
          <w:tcPr>
            <w:tcW w:w="75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val="en-US" w:eastAsia="zh-CN"/>
              </w:rPr>
              <w:t>茶亭</w:t>
            </w:r>
            <w:r>
              <w:rPr>
                <w:rFonts w:hint="eastAsia" w:ascii="Times New Roman" w:hAnsi="Times New Roman" w:eastAsia="仿宋_GB2312"/>
                <w:sz w:val="18"/>
                <w:szCs w:val="18"/>
                <w:lang w:eastAsia="zh-CN"/>
              </w:rPr>
              <w:t>镇</w:t>
            </w:r>
            <w:r>
              <w:rPr>
                <w:rFonts w:hint="eastAsia" w:ascii="Times New Roman" w:hAnsi="Times New Roman" w:eastAsia="仿宋_GB2312"/>
                <w:sz w:val="18"/>
                <w:szCs w:val="18"/>
              </w:rPr>
              <w:t>概况</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主要文化设施、旅游景区景点等）、经济发展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val="en-US" w:eastAsia="zh-CN"/>
              </w:rPr>
              <w:t>茶亭</w:t>
            </w:r>
            <w:r>
              <w:rPr>
                <w:rFonts w:hint="eastAsia" w:ascii="Times New Roman" w:hAnsi="Times New Roman" w:eastAsia="仿宋_GB2312"/>
                <w:sz w:val="18"/>
                <w:szCs w:val="18"/>
                <w:lang w:eastAsia="zh-CN"/>
              </w:rPr>
              <w:t>镇</w:t>
            </w:r>
            <w:r>
              <w:rPr>
                <w:rFonts w:hint="eastAsia" w:ascii="Times New Roman" w:hAnsi="Times New Roman" w:eastAsia="仿宋_GB2312"/>
                <w:sz w:val="18"/>
                <w:szCs w:val="18"/>
              </w:rPr>
              <w:t>概况信息</w:t>
            </w:r>
          </w:p>
        </w:tc>
        <w:tc>
          <w:tcPr>
            <w:tcW w:w="2035" w:type="dxa"/>
            <w:vAlign w:val="center"/>
          </w:tcPr>
          <w:p>
            <w:pPr>
              <w:widowControl/>
              <w:spacing w:line="240" w:lineRule="atLeast"/>
              <w:textAlignment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所在地、邮政编码、联系电话、办公时</w:t>
            </w:r>
            <w:r>
              <w:rPr>
                <w:rFonts w:hint="eastAsia" w:ascii="Times New Roman" w:hAnsi="Times New Roman" w:eastAsia="仿宋_GB2312"/>
                <w:sz w:val="18"/>
                <w:szCs w:val="18"/>
                <w:lang w:val="en-US" w:eastAsia="zh-CN"/>
              </w:rPr>
              <w:t>间</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bl>
    <w:p>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Align w:val="center"/>
          </w:tcPr>
          <w:p>
            <w:pPr>
              <w:jc w:val="center"/>
              <w:rPr>
                <w:rFonts w:hint="default" w:ascii="Times New Roman" w:hAnsi="Times New Roman" w:eastAsia="仿宋_GB2312" w:cs="宋体"/>
                <w:kern w:val="2"/>
                <w:sz w:val="18"/>
                <w:szCs w:val="18"/>
                <w:highlight w:val="none"/>
                <w:lang w:val="en-US" w:eastAsia="zh-CN" w:bidi="ar-SA"/>
              </w:rPr>
            </w:pPr>
            <w:r>
              <w:rPr>
                <w:rFonts w:hint="eastAsia" w:ascii="Times New Roman" w:hAnsi="Times New Roman" w:eastAsia="仿宋_GB2312" w:cs="宋体"/>
                <w:kern w:val="2"/>
                <w:sz w:val="18"/>
                <w:szCs w:val="18"/>
                <w:highlight w:val="none"/>
                <w:lang w:val="en-US" w:eastAsia="zh-CN" w:bidi="ar-SA"/>
              </w:rPr>
              <w:t>1</w:t>
            </w:r>
          </w:p>
        </w:tc>
        <w:tc>
          <w:tcPr>
            <w:tcW w:w="732" w:type="dxa"/>
            <w:vAlign w:val="center"/>
          </w:tcPr>
          <w:p>
            <w:pPr>
              <w:jc w:val="center"/>
              <w:rPr>
                <w:rFonts w:ascii="Times New Roman" w:hAnsi="Times New Roman" w:eastAsia="仿宋_GB2312" w:cs="宋体"/>
                <w:kern w:val="2"/>
                <w:sz w:val="18"/>
                <w:szCs w:val="18"/>
                <w:highlight w:val="none"/>
                <w:lang w:val="en-US" w:eastAsia="zh-CN" w:bidi="ar-SA"/>
              </w:rPr>
            </w:pPr>
            <w:r>
              <w:rPr>
                <w:rFonts w:hint="eastAsia" w:ascii="Times New Roman" w:hAnsi="Times New Roman" w:eastAsia="仿宋_GB2312"/>
                <w:sz w:val="18"/>
                <w:szCs w:val="18"/>
                <w:highlight w:val="none"/>
              </w:rPr>
              <w:t>招生管理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highlight w:val="none"/>
                <w:lang w:val="en-US" w:eastAsia="zh-CN" w:bidi="ar-SA"/>
              </w:rPr>
            </w:pPr>
            <w:r>
              <w:rPr>
                <w:rFonts w:hint="eastAsia" w:ascii="Times New Roman" w:hAnsi="Times New Roman" w:eastAsia="仿宋_GB2312"/>
                <w:sz w:val="18"/>
                <w:szCs w:val="18"/>
                <w:highlight w:val="none"/>
                <w:lang w:val="en-US" w:eastAsia="zh-CN"/>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highlight w:val="none"/>
                <w:lang w:val="en-US" w:eastAsia="zh-CN" w:bidi="ar-SA"/>
              </w:rPr>
            </w:pPr>
            <w:r>
              <w:rPr>
                <w:rFonts w:hint="eastAsia" w:ascii="Times New Roman" w:hAnsi="Times New Roman" w:eastAsia="仿宋_GB2312"/>
                <w:sz w:val="18"/>
                <w:szCs w:val="18"/>
                <w:highlight w:val="none"/>
              </w:rPr>
              <w:t>办学性质</w:t>
            </w:r>
            <w:r>
              <w:rPr>
                <w:rFonts w:hint="eastAsia" w:ascii="Times New Roman" w:hAnsi="Times New Roman" w:eastAsia="仿宋_GB2312"/>
                <w:sz w:val="18"/>
                <w:szCs w:val="18"/>
                <w:highlight w:val="none"/>
                <w:lang w:eastAsia="zh-CN"/>
              </w:rPr>
              <w:t>、</w:t>
            </w:r>
            <w:r>
              <w:rPr>
                <w:rFonts w:hint="eastAsia" w:ascii="Times New Roman" w:hAnsi="Times New Roman" w:eastAsia="仿宋_GB2312"/>
                <w:sz w:val="18"/>
                <w:szCs w:val="18"/>
                <w:highlight w:val="none"/>
              </w:rPr>
              <w:t>办学地点</w:t>
            </w:r>
            <w:r>
              <w:rPr>
                <w:rFonts w:hint="eastAsia" w:ascii="Times New Roman" w:hAnsi="Times New Roman" w:eastAsia="仿宋_GB2312"/>
                <w:sz w:val="18"/>
                <w:szCs w:val="18"/>
                <w:highlight w:val="none"/>
                <w:lang w:eastAsia="zh-CN"/>
              </w:rPr>
              <w:t>、</w:t>
            </w:r>
            <w:r>
              <w:rPr>
                <w:rFonts w:hint="eastAsia" w:ascii="Times New Roman" w:hAnsi="Times New Roman" w:eastAsia="仿宋_GB2312"/>
                <w:sz w:val="18"/>
                <w:szCs w:val="18"/>
                <w:highlight w:val="none"/>
              </w:rPr>
              <w:t>办学规模</w:t>
            </w:r>
            <w:r>
              <w:rPr>
                <w:rFonts w:hint="eastAsia" w:ascii="Times New Roman" w:hAnsi="Times New Roman" w:eastAsia="仿宋_GB2312"/>
                <w:sz w:val="18"/>
                <w:szCs w:val="18"/>
                <w:highlight w:val="none"/>
                <w:lang w:eastAsia="zh-CN"/>
              </w:rPr>
              <w:t>、</w:t>
            </w:r>
            <w:r>
              <w:rPr>
                <w:rFonts w:hint="eastAsia" w:ascii="Times New Roman" w:hAnsi="Times New Roman" w:eastAsia="仿宋_GB2312"/>
                <w:sz w:val="18"/>
                <w:szCs w:val="18"/>
                <w:highlight w:val="none"/>
              </w:rPr>
              <w:t>办学基本条件</w:t>
            </w:r>
            <w:r>
              <w:rPr>
                <w:rFonts w:hint="eastAsia" w:ascii="Times New Roman" w:hAnsi="Times New Roman" w:eastAsia="仿宋_GB2312"/>
                <w:sz w:val="18"/>
                <w:szCs w:val="18"/>
                <w:highlight w:val="none"/>
                <w:lang w:eastAsia="zh-CN"/>
              </w:rPr>
              <w:t>、</w:t>
            </w:r>
            <w:r>
              <w:rPr>
                <w:rFonts w:hint="eastAsia" w:ascii="Times New Roman" w:hAnsi="Times New Roman" w:eastAsia="仿宋_GB2312"/>
                <w:sz w:val="18"/>
                <w:szCs w:val="18"/>
                <w:highlight w:val="none"/>
              </w:rPr>
              <w:t>联系方式等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《中华人民共和国政府信息公开条例》《教育部关于进一步做好小学升入初中免试就近入学工作的实施意见》《教育部关于推进中小学信息公开工作的意见》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茶亭镇人民政府</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 xml:space="preserve">■其他    </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Align w:val="center"/>
          </w:tcPr>
          <w:p>
            <w:pPr>
              <w:jc w:val="center"/>
              <w:rPr>
                <w:rFonts w:hint="eastAsia" w:ascii="Times New Roman" w:hAnsi="Times New Roman" w:eastAsia="仿宋_GB2312" w:cs="宋体"/>
                <w:sz w:val="18"/>
                <w:szCs w:val="18"/>
                <w:highlight w:val="none"/>
                <w:lang w:val="en-US" w:eastAsia="zh-CN"/>
              </w:rPr>
            </w:pPr>
            <w:r>
              <w:rPr>
                <w:rFonts w:hint="eastAsia" w:ascii="Times New Roman" w:hAnsi="Times New Roman" w:eastAsia="仿宋_GB2312" w:cs="宋体"/>
                <w:sz w:val="18"/>
                <w:szCs w:val="18"/>
                <w:highlight w:val="none"/>
                <w:lang w:val="en-US" w:eastAsia="zh-CN"/>
              </w:rPr>
              <w:t>2</w:t>
            </w:r>
          </w:p>
        </w:tc>
        <w:tc>
          <w:tcPr>
            <w:tcW w:w="732" w:type="dxa"/>
            <w:vAlign w:val="center"/>
          </w:tcPr>
          <w:p>
            <w:pPr>
              <w:jc w:val="center"/>
              <w:rPr>
                <w:rFonts w:ascii="Times New Roman" w:hAnsi="Times New Roman" w:eastAsia="仿宋_GB2312" w:cs="宋体"/>
                <w:sz w:val="18"/>
                <w:szCs w:val="18"/>
                <w:highlight w:val="none"/>
              </w:rPr>
            </w:pPr>
            <w:r>
              <w:rPr>
                <w:rFonts w:hint="eastAsia" w:ascii="Times New Roman" w:hAnsi="Times New Roman" w:eastAsia="仿宋_GB2312"/>
                <w:sz w:val="18"/>
                <w:szCs w:val="18"/>
                <w:highlight w:val="none"/>
              </w:rPr>
              <w:t>学生管理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highlight w:val="none"/>
              </w:rPr>
            </w:pPr>
            <w:r>
              <w:rPr>
                <w:rFonts w:hint="eastAsia" w:ascii="Times New Roman" w:hAnsi="Times New Roman" w:eastAsia="仿宋_GB2312"/>
                <w:sz w:val="18"/>
                <w:szCs w:val="18"/>
                <w:highlight w:val="none"/>
              </w:rPr>
              <w:t>义务教育学生资助政策</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highlight w:val="none"/>
              </w:rPr>
            </w:pPr>
            <w:r>
              <w:rPr>
                <w:rFonts w:hint="eastAsia" w:ascii="Times New Roman" w:hAnsi="Times New Roman" w:eastAsia="仿宋_GB2312"/>
                <w:sz w:val="18"/>
                <w:szCs w:val="18"/>
                <w:highlight w:val="none"/>
              </w:rPr>
              <w:t>统一城乡义务教育“两免一补”政策</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《中华人民共和国政府信息公开条例》《国务院关于进一步完善城乡义务教育经费保障机制的通知》</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■其他</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keepNext/>
        <w:keepLines/>
        <w:spacing w:before="340" w:after="330" w:line="578" w:lineRule="auto"/>
        <w:jc w:val="center"/>
        <w:outlineLvl w:val="0"/>
        <w:rPr>
          <w:rFonts w:ascii="Times New Roman" w:hAnsi="Times New Roman" w:eastAsia="方正小标宋_GBK"/>
          <w:b/>
          <w:bCs/>
          <w:kern w:val="44"/>
          <w:sz w:val="30"/>
          <w:szCs w:val="44"/>
        </w:rPr>
      </w:pPr>
      <w:r>
        <w:rPr>
          <w:rFonts w:ascii="方正小标宋_GBK" w:hAnsi="方正小标宋_GBK" w:eastAsia="方正小标宋_GBK"/>
          <w:sz w:val="30"/>
        </w:rPr>
        <w:br w:type="page"/>
      </w: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pPr>
              <w:widowControl/>
              <w:jc w:val="center"/>
              <w:rPr>
                <w:rFonts w:ascii="Times New Roman" w:hAnsi="Times New Roman" w:eastAsia="黑体" w:cs="宋体"/>
                <w:kern w:val="0"/>
                <w:sz w:val="22"/>
              </w:rPr>
            </w:pPr>
          </w:p>
        </w:tc>
        <w:tc>
          <w:tcPr>
            <w:tcW w:w="235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《社会救助暂行办法》（国务院令第649号）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各地配套政策法规文件</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《国务院关于进一步加强和改进最低生活保障工作的意见》（国发〔2012〕4</w:t>
            </w:r>
            <w:r>
              <w:rPr>
                <w:rFonts w:hint="eastAsia" w:ascii="Times New Roman" w:hAnsi="Times New Roman" w:eastAsia="仿宋_GB2312" w:cs="宋体"/>
                <w:kern w:val="0"/>
                <w:sz w:val="18"/>
                <w:szCs w:val="18"/>
                <w:lang w:val="en-US" w:eastAsia="zh-CN"/>
              </w:rPr>
              <w:t>5</w:t>
            </w:r>
            <w:r>
              <w:rPr>
                <w:rFonts w:hint="eastAsia" w:ascii="Times New Roman" w:hAnsi="Times New Roman" w:eastAsia="仿宋_GB2312" w:cs="宋体"/>
                <w:kern w:val="0"/>
                <w:sz w:val="18"/>
                <w:szCs w:val="18"/>
              </w:rPr>
              <w:t>号）                     《最低生活保障审核审批办法（试行）》（民发〔2012〕220号）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各地配套政策法规文件</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p>
            <w:pPr>
              <w:widowControl/>
              <w:jc w:val="both"/>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 xml:space="preserve">《国务院关于进一步健全特困人员救助供养制度的意见》（国发〔2016〕14号）                     </w:t>
            </w:r>
          </w:p>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民政部关于印发《特困人员认定办法》的通知（民发〔2016〕178号）</w:t>
            </w:r>
          </w:p>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民政部关于贯彻落实《国务院关于进一步健全特困人员救助供养制度的意见》的通知（民发〔2016〕115号）</w:t>
            </w:r>
          </w:p>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各地配套政策法规文件</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初审对象名单及相关信息</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终止供养名单</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hint="eastAsia" w:ascii="Times New Roman" w:hAnsi="Times New Roman" w:eastAsia="仿宋_GB2312" w:cs="宋体"/>
                <w:kern w:val="0"/>
                <w:sz w:val="18"/>
                <w:szCs w:val="18"/>
                <w:lang w:val="en-US" w:eastAsia="zh-CN"/>
              </w:rPr>
              <w:t>1</w:t>
            </w:r>
            <w:r>
              <w:rPr>
                <w:rFonts w:ascii="Times New Roman" w:hAnsi="Times New Roman" w:eastAsia="仿宋_GB2312" w:cs="宋体"/>
                <w:kern w:val="0"/>
                <w:sz w:val="18"/>
                <w:szCs w:val="18"/>
              </w:rPr>
              <w:t>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 xml:space="preserve">《国务院关于全面建立临时救助制度的通知》（国发〔2014〕47号）                     </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《民政部 财政部关于进一步加强和改进临时救助工作的意见》（民发〔2018〕23号）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各地配套政策法规文件</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支出型临时救助对象名</w:t>
            </w:r>
            <w:r>
              <w:rPr>
                <w:rFonts w:hint="eastAsia" w:ascii="Times New Roman" w:hAnsi="Times New Roman" w:eastAsia="仿宋_GB2312" w:cs="宋体"/>
                <w:kern w:val="0"/>
                <w:sz w:val="18"/>
                <w:szCs w:val="18"/>
                <w:lang w:val="en-US" w:eastAsia="zh-CN"/>
              </w:rPr>
              <w:t>单、</w:t>
            </w:r>
            <w:r>
              <w:rPr>
                <w:rFonts w:hint="eastAsia" w:ascii="Times New Roman" w:hAnsi="Times New Roman" w:eastAsia="仿宋_GB2312" w:cs="宋体"/>
                <w:kern w:val="0"/>
                <w:sz w:val="18"/>
                <w:szCs w:val="18"/>
              </w:rPr>
              <w:t>救助金额</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 xml:space="preserve">救助事由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keepNext/>
        <w:keepLines/>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sz w:val="30"/>
        </w:rPr>
      </w:pPr>
    </w:p>
    <w:p>
      <w:pPr>
        <w:rPr>
          <w:rFonts w:hint="eastAsia"/>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pPr>
              <w:widowControl/>
              <w:jc w:val="center"/>
              <w:rPr>
                <w:rFonts w:ascii="Times New Roman" w:hAnsi="Times New Roman" w:eastAsia="黑体" w:cs="宋体"/>
                <w:kern w:val="0"/>
                <w:sz w:val="22"/>
              </w:rPr>
            </w:pPr>
          </w:p>
        </w:tc>
        <w:tc>
          <w:tcPr>
            <w:tcW w:w="1853"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pPr>
              <w:widowControl/>
              <w:jc w:val="center"/>
              <w:textAlignment w:val="center"/>
              <w:rPr>
                <w:rFonts w:hint="eastAsia" w:ascii="Times New Roman" w:hAnsi="Times New Roman" w:eastAsia="宋体" w:cs="宋体"/>
                <w:kern w:val="0"/>
                <w:sz w:val="18"/>
                <w:szCs w:val="18"/>
                <w:lang w:val="en-US" w:eastAsia="zh-CN"/>
              </w:rPr>
            </w:pPr>
            <w:r>
              <w:rPr>
                <w:rFonts w:hint="eastAsia" w:ascii="Times New Roman" w:hAnsi="Times New Roman" w:cs="宋体"/>
                <w:kern w:val="0"/>
                <w:sz w:val="18"/>
                <w:szCs w:val="18"/>
                <w:lang w:val="en-US" w:eastAsia="zh-CN"/>
              </w:rPr>
              <w:t>1</w:t>
            </w:r>
          </w:p>
        </w:tc>
        <w:tc>
          <w:tcPr>
            <w:tcW w:w="663"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养老服务通用政策</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国家和地方层面养老服务相关</w:t>
            </w:r>
            <w:r>
              <w:rPr>
                <w:rFonts w:hint="eastAsia" w:ascii="Times New Roman" w:hAnsi="Times New Roman" w:eastAsia="仿宋_GB2312" w:cs="宋体"/>
                <w:kern w:val="0"/>
                <w:sz w:val="18"/>
                <w:szCs w:val="18"/>
                <w:lang w:eastAsia="zh-CN"/>
              </w:rPr>
              <w:t>法律法规</w:t>
            </w:r>
            <w:r>
              <w:rPr>
                <w:rFonts w:hint="eastAsia" w:ascii="Times New Roman" w:hAnsi="Times New Roman" w:eastAsia="仿宋_GB2312" w:cs="宋体"/>
                <w:kern w:val="0"/>
                <w:sz w:val="18"/>
                <w:szCs w:val="18"/>
              </w:rPr>
              <w:t>、政策文件</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文号</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发文部门</w:t>
            </w:r>
          </w:p>
        </w:tc>
        <w:tc>
          <w:tcPr>
            <w:tcW w:w="1853" w:type="dxa"/>
            <w:vAlign w:val="center"/>
          </w:tcPr>
          <w:p>
            <w:pPr>
              <w:widowControl/>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制定或获取文件之日起10个工作日内</w:t>
            </w:r>
          </w:p>
        </w:tc>
        <w:tc>
          <w:tcPr>
            <w:tcW w:w="1475" w:type="dxa"/>
            <w:vAlign w:val="center"/>
          </w:tcPr>
          <w:p>
            <w:pPr>
              <w:widowControl/>
              <w:jc w:val="left"/>
              <w:textAlignment w:val="center"/>
              <w:rPr>
                <w:rFonts w:hint="default" w:ascii="Times New Roman" w:hAnsi="Times New Roman" w:eastAsia="仿宋_GB2312" w:cs="宋体"/>
                <w:kern w:val="0"/>
                <w:sz w:val="18"/>
                <w:szCs w:val="18"/>
                <w:lang w:val="en-US"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p>
          <w:p>
            <w:pPr>
              <w:widowControl/>
              <w:jc w:val="left"/>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■便民服务中心</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pPr>
              <w:widowControl/>
              <w:jc w:val="center"/>
              <w:textAlignment w:val="center"/>
              <w:rPr>
                <w:rFonts w:hint="eastAsia" w:ascii="Times New Roman" w:hAnsi="Times New Roman" w:eastAsia="宋体" w:cs="宋体"/>
                <w:kern w:val="0"/>
                <w:sz w:val="18"/>
                <w:szCs w:val="18"/>
                <w:lang w:val="en-US" w:eastAsia="zh-CN"/>
              </w:rPr>
            </w:pPr>
            <w:r>
              <w:rPr>
                <w:rFonts w:hint="eastAsia" w:ascii="Times New Roman" w:hAnsi="Times New Roman" w:cs="宋体"/>
                <w:kern w:val="0"/>
                <w:sz w:val="18"/>
                <w:szCs w:val="18"/>
                <w:lang w:val="en-US" w:eastAsia="zh-CN"/>
              </w:rPr>
              <w:t>2</w:t>
            </w:r>
          </w:p>
        </w:tc>
        <w:tc>
          <w:tcPr>
            <w:tcW w:w="663"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Times New Roman" w:hAnsi="Times New Roman" w:eastAsia="仿宋_GB2312" w:cs="宋体"/>
                <w:kern w:val="0"/>
                <w:sz w:val="18"/>
                <w:szCs w:val="18"/>
              </w:rPr>
            </w:pP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养老服务扶持政策措施清单</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扶持政策措施名称</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扶持对象</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实施部门</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扶持政策措施内容和标准</w:t>
            </w:r>
          </w:p>
        </w:tc>
        <w:tc>
          <w:tcPr>
            <w:tcW w:w="1853" w:type="dxa"/>
            <w:vAlign w:val="center"/>
          </w:tcPr>
          <w:p>
            <w:pPr>
              <w:widowControl/>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制定或获取文件之日起1</w:t>
            </w:r>
            <w:r>
              <w:rPr>
                <w:rFonts w:hint="eastAsia" w:ascii="Times New Roman" w:hAnsi="Times New Roman" w:eastAsia="仿宋_GB2312" w:cs="宋体"/>
                <w:kern w:val="0"/>
                <w:sz w:val="18"/>
                <w:szCs w:val="18"/>
                <w:lang w:val="en-US" w:eastAsia="zh-CN"/>
              </w:rPr>
              <w:t>1</w:t>
            </w:r>
            <w:r>
              <w:rPr>
                <w:rFonts w:hint="eastAsia" w:ascii="Times New Roman" w:hAnsi="Times New Roman" w:eastAsia="仿宋_GB2312" w:cs="宋体"/>
                <w:kern w:val="0"/>
                <w:sz w:val="18"/>
                <w:szCs w:val="18"/>
              </w:rPr>
              <w:t>个工作日内</w:t>
            </w:r>
          </w:p>
        </w:tc>
        <w:tc>
          <w:tcPr>
            <w:tcW w:w="1475"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p>
          <w:p>
            <w:pPr>
              <w:widowControl/>
              <w:jc w:val="left"/>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■便民服务中心</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pPr>
              <w:widowControl/>
              <w:jc w:val="center"/>
              <w:textAlignment w:val="center"/>
              <w:rPr>
                <w:rFonts w:hint="eastAsia" w:ascii="Times New Roman" w:hAnsi="Times New Roman" w:eastAsia="宋体" w:cs="宋体"/>
                <w:kern w:val="0"/>
                <w:sz w:val="18"/>
                <w:szCs w:val="18"/>
                <w:lang w:val="en-US" w:eastAsia="zh-CN"/>
              </w:rPr>
            </w:pPr>
            <w:r>
              <w:rPr>
                <w:rFonts w:hint="eastAsia" w:ascii="Times New Roman" w:hAnsi="Times New Roman" w:cs="宋体"/>
                <w:kern w:val="0"/>
                <w:sz w:val="18"/>
                <w:szCs w:val="18"/>
                <w:lang w:val="en-US" w:eastAsia="zh-CN"/>
              </w:rPr>
              <w:t>3</w:t>
            </w:r>
          </w:p>
        </w:tc>
        <w:tc>
          <w:tcPr>
            <w:tcW w:w="663"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Times New Roman" w:hAnsi="Times New Roman" w:eastAsia="仿宋_GB2312" w:cs="宋体"/>
                <w:kern w:val="0"/>
                <w:sz w:val="18"/>
                <w:szCs w:val="18"/>
              </w:rPr>
            </w:pP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养老机构投资指南</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本区域养老机构投资环境简介</w:t>
            </w:r>
          </w:p>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养老机构投资审批条件及依据</w:t>
            </w:r>
          </w:p>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养老机构投资审批流程</w:t>
            </w:r>
          </w:p>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养老机构投资审批涉及部门和联系方式</w:t>
            </w:r>
          </w:p>
        </w:tc>
        <w:tc>
          <w:tcPr>
            <w:tcW w:w="1853" w:type="dxa"/>
            <w:vAlign w:val="center"/>
          </w:tcPr>
          <w:p>
            <w:pPr>
              <w:widowControl/>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制定或获取文件之日起10个工作日内</w:t>
            </w:r>
          </w:p>
        </w:tc>
        <w:tc>
          <w:tcPr>
            <w:tcW w:w="1475"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p>
          <w:p>
            <w:pPr>
              <w:widowControl/>
              <w:jc w:val="left"/>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■便民服务中心</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pPr>
              <w:widowControl/>
              <w:jc w:val="center"/>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4</w:t>
            </w:r>
          </w:p>
        </w:tc>
        <w:tc>
          <w:tcPr>
            <w:tcW w:w="663"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p>
          <w:p>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 xml:space="preserve">■两微一端 </w:t>
            </w:r>
          </w:p>
          <w:p>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widowControl/>
              <w:jc w:val="center"/>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5</w:t>
            </w:r>
          </w:p>
        </w:tc>
        <w:tc>
          <w:tcPr>
            <w:tcW w:w="663"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养老服务行业管理信息</w:t>
            </w:r>
          </w:p>
        </w:tc>
        <w:tc>
          <w:tcPr>
            <w:tcW w:w="671"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每20个工作日更新</w:t>
            </w:r>
          </w:p>
        </w:tc>
        <w:tc>
          <w:tcPr>
            <w:tcW w:w="1475" w:type="dxa"/>
            <w:vAlign w:val="center"/>
          </w:tcPr>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pStyle w:val="2"/>
        <w:jc w:val="center"/>
        <w:rPr>
          <w:rFonts w:hint="eastAsia" w:ascii="Times New Roman" w:hAnsi="Times New Roman" w:eastAsia="方正小标宋_GBK"/>
          <w:sz w:val="30"/>
          <w:lang w:eastAsia="zh-CN"/>
        </w:rPr>
      </w:pPr>
    </w:p>
    <w:p>
      <w:pPr>
        <w:pStyle w:val="2"/>
        <w:jc w:val="center"/>
        <w:rPr>
          <w:rFonts w:hint="eastAsia" w:ascii="Times New Roman" w:hAnsi="Times New Roman" w:eastAsia="方正小标宋_GBK"/>
          <w:sz w:val="30"/>
          <w:lang w:eastAsia="zh-CN"/>
        </w:rPr>
      </w:pPr>
    </w:p>
    <w:p>
      <w:pPr>
        <w:rPr>
          <w:rFonts w:hint="eastAsia" w:ascii="Times New Roman" w:hAnsi="Times New Roman" w:eastAsia="方正小标宋_GBK"/>
          <w:sz w:val="30"/>
          <w:lang w:eastAsia="zh-CN"/>
        </w:rPr>
      </w:pPr>
    </w:p>
    <w:p>
      <w:pPr>
        <w:rPr>
          <w:rFonts w:hint="eastAsia" w:ascii="Times New Roman" w:hAnsi="Times New Roman" w:eastAsia="方正小标宋_GBK"/>
          <w:sz w:val="30"/>
          <w:lang w:eastAsia="zh-CN"/>
        </w:rPr>
      </w:pPr>
    </w:p>
    <w:p>
      <w:pPr>
        <w:pStyle w:val="2"/>
        <w:jc w:val="center"/>
        <w:rPr>
          <w:rFonts w:ascii="Times New Roman" w:hAnsi="Times New Roman" w:eastAsia="方正小标宋_GBK"/>
          <w:sz w:val="30"/>
        </w:rPr>
      </w:pP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1</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其他法律服务网</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2</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其他法律服务网</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3</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其他法律服务网</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r>
              <w:rPr>
                <w:rFonts w:hint="eastAsia" w:ascii="Times New Roman" w:hAnsi="Times New Roman" w:eastAsia="仿宋"/>
                <w:sz w:val="30"/>
                <w:szCs w:val="30"/>
              </w:rPr>
              <w:t>√</w:t>
            </w:r>
          </w:p>
        </w:tc>
      </w:tr>
    </w:tbl>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3031"/>
        <w:gridCol w:w="1716"/>
        <w:gridCol w:w="1284"/>
        <w:gridCol w:w="1424"/>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3031"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71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42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3031" w:type="dxa"/>
            <w:vMerge w:val="continue"/>
            <w:vAlign w:val="center"/>
          </w:tcPr>
          <w:p>
            <w:pPr>
              <w:widowControl/>
              <w:jc w:val="center"/>
              <w:rPr>
                <w:rFonts w:ascii="Times New Roman" w:hAnsi="Times New Roman" w:eastAsia="黑体" w:cs="宋体"/>
                <w:kern w:val="0"/>
                <w:sz w:val="22"/>
              </w:rPr>
            </w:pPr>
          </w:p>
        </w:tc>
        <w:tc>
          <w:tcPr>
            <w:tcW w:w="1716" w:type="dxa"/>
            <w:vMerge w:val="continue"/>
            <w:vAlign w:val="center"/>
          </w:tcPr>
          <w:p>
            <w:pPr>
              <w:widowControl/>
              <w:jc w:val="center"/>
              <w:rPr>
                <w:rFonts w:ascii="Times New Roman" w:hAnsi="Times New Roman" w:eastAsia="黑体" w:cs="宋体"/>
                <w:kern w:val="0"/>
                <w:sz w:val="22"/>
              </w:rPr>
            </w:pPr>
          </w:p>
        </w:tc>
        <w:tc>
          <w:tcPr>
            <w:tcW w:w="1284" w:type="dxa"/>
            <w:vMerge w:val="continue"/>
            <w:vAlign w:val="center"/>
          </w:tcPr>
          <w:p>
            <w:pPr>
              <w:widowControl/>
              <w:jc w:val="center"/>
              <w:rPr>
                <w:rFonts w:ascii="Times New Roman" w:hAnsi="Times New Roman" w:eastAsia="黑体" w:cs="宋体"/>
                <w:kern w:val="0"/>
                <w:sz w:val="22"/>
              </w:rPr>
            </w:pPr>
          </w:p>
        </w:tc>
        <w:tc>
          <w:tcPr>
            <w:tcW w:w="1424"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w:t>
            </w:r>
          </w:p>
        </w:tc>
        <w:tc>
          <w:tcPr>
            <w:tcW w:w="714"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就业信息服务</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就业政策法规咨询</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就业创业政策项目、对象范围、政策申请条件、政策申请材料、办理流程、办理地点（方式）、咨询电话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2</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岗位信息发布</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招聘单位、岗位要求、福利待遇、招聘流程、应聘方式、咨询电话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3</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职业培训信息发布</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培训项目信息</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jc w:val="left"/>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4</w:t>
            </w:r>
          </w:p>
        </w:tc>
        <w:tc>
          <w:tcPr>
            <w:tcW w:w="714"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职业介绍、职业指导和创业开业指导</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职业介绍</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服务内容、服务对象、提交材料、服务时间、服务地点（方式）、咨询电话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5</w:t>
            </w:r>
          </w:p>
        </w:tc>
        <w:tc>
          <w:tcPr>
            <w:tcW w:w="714" w:type="dxa"/>
            <w:vMerge w:val="continue"/>
            <w:vAlign w:val="center"/>
          </w:tcPr>
          <w:p>
            <w:pPr>
              <w:jc w:val="left"/>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职业指导</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服务内容、服务对象、提交材料、服务时间、服务地点（方式）、咨询电话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6</w:t>
            </w:r>
          </w:p>
        </w:tc>
        <w:tc>
          <w:tcPr>
            <w:tcW w:w="714" w:type="dxa"/>
            <w:vMerge w:val="continue"/>
            <w:vAlign w:val="center"/>
          </w:tcPr>
          <w:p>
            <w:pPr>
              <w:jc w:val="left"/>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创业开业指导</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服务内容、服务对象、提交材料、服务时间、服务地点（方式）、咨询电话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7</w:t>
            </w:r>
          </w:p>
        </w:tc>
        <w:tc>
          <w:tcPr>
            <w:tcW w:w="71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公共就业服务专项活动</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公共就业服务专项活动</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政策文件</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8</w:t>
            </w:r>
          </w:p>
        </w:tc>
        <w:tc>
          <w:tcPr>
            <w:tcW w:w="714" w:type="dxa"/>
            <w:vMerge w:val="restart"/>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就业失业登记</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失业登记</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对象范围、申请人权利和义务、申请条件、申请材料、办理流程、办理时限</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9</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就业登记</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对象范围、办理条件、办理材料、办理流程、办理时限、办理地点（方式）、办理结果告知方式、咨询电话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10</w:t>
            </w:r>
          </w:p>
        </w:tc>
        <w:tc>
          <w:tcPr>
            <w:tcW w:w="71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就业失业登记</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《就业创业证》申领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对象范围、证件使用注意事项、申领条件、申领材料、办理流程、办理时限、办理地点（方式）、证件送达方式、咨询电话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11</w:t>
            </w:r>
          </w:p>
        </w:tc>
        <w:tc>
          <w:tcPr>
            <w:tcW w:w="714"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创业服务</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创业补贴申领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12</w:t>
            </w:r>
          </w:p>
        </w:tc>
        <w:tc>
          <w:tcPr>
            <w:tcW w:w="714" w:type="dxa"/>
            <w:vMerge w:val="continue"/>
            <w:vAlign w:val="center"/>
          </w:tcPr>
          <w:p>
            <w:pPr>
              <w:jc w:val="left"/>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创业担保贷款申请</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办事指南相关信息，如：文件依据、政策对象、贷款额度、申请条件、申请材料、办理流程、办理时限、办理地点（方式）、办理结果告知方式、咨询电话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13</w:t>
            </w:r>
          </w:p>
        </w:tc>
        <w:tc>
          <w:tcPr>
            <w:tcW w:w="714"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对就业困难人员（含建档立卡贫困劳动力）实施就业援助</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就业困难人员认定</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文件依据、对象范围、申请条件、申请材料、办理流程、办理时限、办理地点（方式）、办理结果告知方式、咨询电话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14</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就业困难人员社会保险补贴申领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1.文件依据</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2.政策对象</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3.补贴标准</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4.申请条件</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5.申请材料</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6.办理流程</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7.办理时限</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8.办理地点（方式）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9.办理结果告知方式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10.咨询电话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15</w:t>
            </w:r>
          </w:p>
        </w:tc>
        <w:tc>
          <w:tcPr>
            <w:tcW w:w="714"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对就业困难人员（含建档立卡贫困劳动力）实施就业援助</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公益性岗位补贴申领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、补贴标准、申请条件</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、申请材料、办理流程</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、办理时限、办理地点（方式）、办理结果告知方式、咨询电话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16</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求职创业补贴申领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文件依据、政策对象、补贴标准、申请条件、申请材料、办理流程、办理时限、办理地点（方式）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17</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吸纳贫困劳动力就业奖补申领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文件依据、政策对象、奖补标准、申请条件、申请材料、办理流程、办理时限、办理地点（方式）、办理结果告知方式、咨询电话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18</w:t>
            </w:r>
          </w:p>
        </w:tc>
        <w:tc>
          <w:tcPr>
            <w:tcW w:w="714"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高校毕业生就业服务</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高等学校等毕业生接收手续办理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文件依据、对象范围、办理条件、办理材料、办理流程、办理时限、办理地点（方式）、办理结果告知方式、咨询电话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19</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就业见习补贴申领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文件依据、政策对象、补贴标准、申请条件、申请材料、办理流程、办理时限、办理地点（方式）、办理结果、咨询电话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20</w:t>
            </w:r>
          </w:p>
        </w:tc>
        <w:tc>
          <w:tcPr>
            <w:tcW w:w="71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高校毕业生就业服务</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高校毕业生社保补贴申领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文件依据、政策对象、补贴标准、申请条件、申请材料、办理流程、办理时限、办理地点（方式）、办理结果、咨询电话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bl>
    <w:p>
      <w:pPr>
        <w:rPr>
          <w:rFonts w:hint="eastAsia" w:ascii="仿宋_GB2312" w:hAnsi="仿宋_GB2312" w:eastAsia="仿宋_GB2312" w:cs="仿宋_GB2312"/>
          <w:b/>
          <w:bCs/>
          <w:sz w:val="18"/>
          <w:szCs w:val="18"/>
        </w:rPr>
      </w:pPr>
    </w:p>
    <w:p>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157"/>
        <w:gridCol w:w="3055"/>
        <w:gridCol w:w="1634"/>
        <w:gridCol w:w="1449"/>
        <w:gridCol w:w="150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5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30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4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50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57" w:type="dxa"/>
            <w:vMerge w:val="continue"/>
            <w:vAlign w:val="center"/>
          </w:tcPr>
          <w:p>
            <w:pPr>
              <w:widowControl/>
              <w:jc w:val="center"/>
              <w:rPr>
                <w:rFonts w:ascii="Times New Roman" w:hAnsi="Times New Roman" w:eastAsia="黑体" w:cs="宋体"/>
                <w:kern w:val="0"/>
                <w:sz w:val="22"/>
              </w:rPr>
            </w:pPr>
          </w:p>
        </w:tc>
        <w:tc>
          <w:tcPr>
            <w:tcW w:w="3055" w:type="dxa"/>
            <w:vMerge w:val="continue"/>
            <w:vAlign w:val="center"/>
          </w:tcPr>
          <w:p>
            <w:pPr>
              <w:widowControl/>
              <w:jc w:val="center"/>
              <w:rPr>
                <w:rFonts w:ascii="Times New Roman" w:hAnsi="Times New Roman" w:eastAsia="黑体" w:cs="宋体"/>
                <w:kern w:val="0"/>
                <w:sz w:val="22"/>
              </w:rPr>
            </w:pPr>
          </w:p>
        </w:tc>
        <w:tc>
          <w:tcPr>
            <w:tcW w:w="1634" w:type="dxa"/>
            <w:vMerge w:val="continue"/>
            <w:vAlign w:val="center"/>
          </w:tcPr>
          <w:p>
            <w:pPr>
              <w:widowControl/>
              <w:jc w:val="center"/>
              <w:rPr>
                <w:rFonts w:ascii="Times New Roman" w:hAnsi="Times New Roman" w:eastAsia="黑体" w:cs="宋体"/>
                <w:kern w:val="0"/>
                <w:sz w:val="22"/>
              </w:rPr>
            </w:pPr>
          </w:p>
        </w:tc>
        <w:tc>
          <w:tcPr>
            <w:tcW w:w="1449" w:type="dxa"/>
            <w:vMerge w:val="continue"/>
            <w:vAlign w:val="center"/>
          </w:tcPr>
          <w:p>
            <w:pPr>
              <w:widowControl/>
              <w:jc w:val="center"/>
              <w:rPr>
                <w:rFonts w:ascii="Times New Roman" w:hAnsi="Times New Roman" w:eastAsia="黑体" w:cs="宋体"/>
                <w:kern w:val="0"/>
                <w:sz w:val="22"/>
              </w:rPr>
            </w:pPr>
          </w:p>
        </w:tc>
        <w:tc>
          <w:tcPr>
            <w:tcW w:w="150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i w:val="0"/>
                <w:iCs w:val="0"/>
                <w:color w:val="000000"/>
                <w:kern w:val="0"/>
                <w:sz w:val="18"/>
                <w:szCs w:val="18"/>
                <w:u w:val="none"/>
                <w:lang w:val="en-US" w:eastAsia="zh-CN" w:bidi="ar"/>
              </w:rPr>
              <w:t>1</w:t>
            </w:r>
          </w:p>
        </w:tc>
        <w:tc>
          <w:tcPr>
            <w:tcW w:w="720"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社会保险登记</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工程建设项目办理工伤保险参保登记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w:t>
            </w:r>
            <w:r>
              <w:rPr>
                <w:rFonts w:hint="eastAsia" w:ascii="仿宋_GB2312" w:hAnsi="仿宋_GB2312" w:eastAsia="仿宋_GB2312" w:cs="仿宋_GB2312"/>
                <w:b w:val="0"/>
                <w:bCs w:val="0"/>
                <w:i w:val="0"/>
                <w:iCs w:val="0"/>
                <w:color w:val="000000"/>
                <w:kern w:val="0"/>
                <w:sz w:val="18"/>
                <w:szCs w:val="18"/>
                <w:u w:val="none"/>
                <w:lang w:val="en-US" w:eastAsia="zh-CN" w:bidi="ar"/>
              </w:rPr>
              <w:t>11</w:t>
            </w:r>
            <w:r>
              <w:rPr>
                <w:rFonts w:hint="eastAsia" w:ascii="仿宋_GB2312" w:hAnsi="仿宋_GB2312" w:eastAsia="仿宋_GB2312" w:cs="仿宋_GB2312"/>
                <w:i w:val="0"/>
                <w:iCs w:val="0"/>
                <w:color w:val="000000"/>
                <w:kern w:val="0"/>
                <w:sz w:val="18"/>
                <w:szCs w:val="18"/>
                <w:u w:val="none"/>
                <w:lang w:val="en-US" w:eastAsia="zh-CN" w:bidi="ar"/>
              </w:rPr>
              <w:t>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参保单位注销</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3"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w:t>
            </w:r>
          </w:p>
        </w:tc>
        <w:tc>
          <w:tcPr>
            <w:tcW w:w="720" w:type="dxa"/>
            <w:vMerge w:val="continue"/>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职工参保登记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4</w:t>
            </w:r>
          </w:p>
        </w:tc>
        <w:tc>
          <w:tcPr>
            <w:tcW w:w="720" w:type="dxa"/>
            <w:vAlign w:val="center"/>
          </w:tcPr>
          <w:p>
            <w:pP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城乡居民养老保险参保登记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5</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社会保险参保信息维护</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单位（项目）基本信息变更</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6</w:t>
            </w:r>
          </w:p>
        </w:tc>
        <w:tc>
          <w:tcPr>
            <w:tcW w:w="720"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社会保险参保信息维护</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个人基本信息变更</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7</w:t>
            </w:r>
          </w:p>
        </w:tc>
        <w:tc>
          <w:tcPr>
            <w:tcW w:w="720" w:type="dxa"/>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工伤保险待遇发放账户维护申请</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8</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社会保险参保缴费记录查询</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单位参保证明查询打印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9</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社会保险参保缴费记录查询</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个人权益记录查询打印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10</w:t>
            </w:r>
          </w:p>
        </w:tc>
        <w:tc>
          <w:tcPr>
            <w:tcW w:w="720" w:type="dxa"/>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城乡居民养老保险待遇申 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3.《中华人民共和国劳动保险条例》（《中华人民共和国劳动保险条例》1951年2月26日发布，并自即日起施行法律法规；1953年1月2日，《中华人民共和国劳动保险条例》经中央人民政府国务院修正）</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11</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养老保险服务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居民养老保险注销登 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3.《中华人民共和国劳动保险条例》（1951年2月26日《中华人民共和国劳动保险条例》发布，自即日起施行法律法规；1953年1月2日，《中华人民共和国劳动保险条例》经中央人民政府国务院修正）</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12</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工伤事故备 案</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13</w:t>
            </w:r>
          </w:p>
        </w:tc>
        <w:tc>
          <w:tcPr>
            <w:tcW w:w="720" w:type="dxa"/>
            <w:vMerge w:val="restart"/>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用人单位办理工伤登 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14</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变更工伤登 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15</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协议医疗机构的确认</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16</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 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协议康复机构的确认</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17</w:t>
            </w:r>
          </w:p>
        </w:tc>
        <w:tc>
          <w:tcPr>
            <w:tcW w:w="720" w:type="dxa"/>
            <w:vMerge w:val="restart"/>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异地工伤就医报 告</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18</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旧伤复发申请确 认</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19</w:t>
            </w:r>
          </w:p>
        </w:tc>
        <w:tc>
          <w:tcPr>
            <w:tcW w:w="720" w:type="dxa"/>
            <w:vMerge w:val="restart"/>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11工伤康复申请确认</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工伤康复治疗期延长申请</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21</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工伤医疗（康复）费用申报</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22</w:t>
            </w:r>
          </w:p>
        </w:tc>
        <w:tc>
          <w:tcPr>
            <w:tcW w:w="720" w:type="dxa"/>
            <w:vMerge w:val="restart"/>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住院伙食补助费申领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23</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统筹地区以外交通、食宿费申领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24</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一次性工伤医疗补助金申 请</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25</w:t>
            </w:r>
          </w:p>
        </w:tc>
        <w:tc>
          <w:tcPr>
            <w:tcW w:w="720" w:type="dxa"/>
            <w:vMerge w:val="restart"/>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辅助器具配置（更换）费用申报</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26</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伤残待遇申领（一次性伤残补助金、伤残津贴和生活护理费）</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27</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一次性工亡补助金（含生活困难，预支50%确认）、丧葬补助金申领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28</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供养亲属抚恤金申领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29</w:t>
            </w:r>
          </w:p>
        </w:tc>
        <w:tc>
          <w:tcPr>
            <w:tcW w:w="720"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失业保险服务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失业保险金申领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30</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丧葬补助金和抚恤金申领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31</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失业保险关系转移接 续</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32</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稳岗补贴申 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33</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技能提升补贴申 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34</w:t>
            </w:r>
          </w:p>
        </w:tc>
        <w:tc>
          <w:tcPr>
            <w:tcW w:w="720"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社会保障卡服务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社会保障卡申领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3.《人力资源和社会保障部关于印发“中华人民共和国社会保障卡”管理办法的通知》（人社部发〔2011〕47号）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35</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社会保障卡信息变更</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3.《人力资源和社会保障部关于印发“中华人民共和国社会保障卡”管理办法的通知》（人社部发〔2011〕47号）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36</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社会保障卡密码修改与重 置</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3.《人力资源和社会保障部关于印发“中华人民共和国社会保障卡”管理办法的通知》（人社部发〔2011〕47号）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方正小标宋_GBK" w:hAnsi="方正小标宋_GBK"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七</w:t>
      </w:r>
      <w:r>
        <w:rPr>
          <w:rFonts w:hint="eastAsia" w:ascii="Times New Roman" w:hAnsi="Times New Roman" w:eastAsia="方正小标宋_GBK"/>
          <w:sz w:val="30"/>
        </w:rPr>
        <w:t>）安全生产领域基层政务公开标准目录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pPr>
              <w:widowControl/>
              <w:jc w:val="center"/>
              <w:rPr>
                <w:rFonts w:ascii="Times New Roman" w:hAnsi="Times New Roman" w:eastAsia="黑体" w:cs="宋体"/>
                <w:kern w:val="0"/>
                <w:sz w:val="22"/>
              </w:rPr>
            </w:pPr>
          </w:p>
        </w:tc>
        <w:tc>
          <w:tcPr>
            <w:tcW w:w="1939"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1</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国务院令第711号），中央办公厅、国务院办公厅《关于全面推进政务公开工作的意见》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2</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pPr>
              <w:rPr>
                <w:rFonts w:ascii="Times New Roman" w:hAnsi="Times New Roman" w:eastAsia="仿宋_GB2312" w:cs="宋体"/>
                <w:sz w:val="18"/>
                <w:szCs w:val="18"/>
              </w:rPr>
            </w:pPr>
            <w:r>
              <w:rPr>
                <w:rFonts w:hint="eastAsia" w:ascii="仿宋_GB2312" w:hAnsi="仿宋_GB2312" w:eastAsia="仿宋_GB2312" w:cs="仿宋_GB2312"/>
                <w:sz w:val="18"/>
                <w:szCs w:val="18"/>
              </w:rPr>
              <w:t>《中华人民共和国政府信息公开条例》</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rPr>
              <w:t>国务院令第711号）</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rPr>
              <w:t>中央办公厅、国务院办公厅《关于全面推进政务公开工作的意见》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default"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3</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国务院令第711号），中央办公厅、国务院办公厅《关于全面推进政务公开工作的意见》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4</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《中华人民共和国安全生产法</w:t>
            </w:r>
            <w:r>
              <w:rPr>
                <w:rFonts w:hint="eastAsia" w:ascii="Times New Roman" w:hAnsi="Times New Roman" w:eastAsia="仿宋_GB2312"/>
                <w:bCs/>
                <w:sz w:val="18"/>
                <w:szCs w:val="18"/>
                <w:lang w:eastAsia="zh-CN"/>
              </w:rPr>
              <w:t>》《</w:t>
            </w:r>
            <w:bookmarkStart w:id="1" w:name="OLE_LINK1"/>
            <w:r>
              <w:rPr>
                <w:rFonts w:hint="eastAsia" w:ascii="Times New Roman" w:hAnsi="Times New Roman" w:eastAsia="仿宋_GB2312"/>
                <w:bCs/>
                <w:sz w:val="18"/>
                <w:szCs w:val="18"/>
              </w:rPr>
              <w:t>中华人民共和国</w:t>
            </w:r>
            <w:bookmarkEnd w:id="1"/>
            <w:r>
              <w:rPr>
                <w:rFonts w:hint="eastAsia" w:ascii="Times New Roman" w:hAnsi="Times New Roman" w:eastAsia="仿宋_GB2312"/>
                <w:bCs/>
                <w:sz w:val="18"/>
                <w:szCs w:val="18"/>
              </w:rPr>
              <w:t>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国务院令第711号）、《中共中央 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5</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国务院令第711号），《中华人民共和国突发事件应对法》，中央办公厅、国务院办公厅《关于全面</w:t>
            </w:r>
            <w:r>
              <w:rPr>
                <w:rFonts w:hint="eastAsia" w:ascii="Times New Roman" w:hAnsi="Times New Roman" w:eastAsia="仿宋_GB2312"/>
                <w:bCs/>
                <w:sz w:val="18"/>
                <w:szCs w:val="18"/>
                <w:lang w:val="en-US" w:eastAsia="zh-CN"/>
              </w:rPr>
              <w:t>推进</w:t>
            </w:r>
            <w:r>
              <w:rPr>
                <w:rFonts w:hint="eastAsia" w:ascii="Times New Roman" w:hAnsi="Times New Roman" w:eastAsia="仿宋_GB2312"/>
                <w:bCs/>
                <w:sz w:val="18"/>
                <w:szCs w:val="18"/>
              </w:rPr>
              <w:t>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6</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不同时段、不同领域安全生产提示信息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国务院令第711号）、《中共中央 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7</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《国务院关于深化预算管理制度改革的决定》</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国发〔2014〕45号</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中办、国办印发《关于进一步推进预算公开工作的意见》的通知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8</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国务院令第711号）、《中共中央 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ascii="Times New Roman" w:hAnsi="Times New Roman" w:eastAsia="黑体" w:cs="宋体"/>
                <w:kern w:val="0"/>
                <w:sz w:val="22"/>
              </w:rPr>
            </w:pPr>
          </w:p>
        </w:tc>
        <w:tc>
          <w:tcPr>
            <w:tcW w:w="73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w:t>
            </w:r>
          </w:p>
        </w:tc>
        <w:tc>
          <w:tcPr>
            <w:tcW w:w="73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p>
        </w:tc>
        <w:tc>
          <w:tcPr>
            <w:tcW w:w="709"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预警信息</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气象、地震等单位发布的预警信息</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w:t>
            </w:r>
          </w:p>
        </w:tc>
        <w:tc>
          <w:tcPr>
            <w:tcW w:w="1475"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2</w:t>
            </w:r>
          </w:p>
        </w:tc>
        <w:tc>
          <w:tcPr>
            <w:tcW w:w="73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灾后救助</w:t>
            </w:r>
          </w:p>
        </w:tc>
        <w:tc>
          <w:tcPr>
            <w:tcW w:w="709"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救助审定信息</w:t>
            </w:r>
          </w:p>
        </w:tc>
        <w:tc>
          <w:tcPr>
            <w:tcW w:w="234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自然灾害救助（6类）的救助对象、申报材料、办理程序及时限等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《中华人民共和国政府信息公开条例》（国务院令第711号）、《自然灾害救助条例》（国务院令第577号）</w:t>
            </w:r>
          </w:p>
        </w:tc>
        <w:tc>
          <w:tcPr>
            <w:tcW w:w="162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信息形成或变更之日起20个工作日内</w:t>
            </w:r>
          </w:p>
        </w:tc>
        <w:tc>
          <w:tcPr>
            <w:tcW w:w="1475" w:type="dxa"/>
            <w:vAlign w:val="center"/>
          </w:tcPr>
          <w:p>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jc w:val="center"/>
              <w:rPr>
                <w:rFonts w:hint="eastAsia" w:ascii="仿宋_GB2312" w:hAnsi="仿宋_GB2312" w:eastAsia="仿宋_GB2312" w:cs="仿宋_GB2312"/>
                <w:sz w:val="18"/>
                <w:szCs w:val="18"/>
              </w:rPr>
            </w:pPr>
          </w:p>
        </w:tc>
        <w:tc>
          <w:tcPr>
            <w:tcW w:w="592"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717"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3</w:t>
            </w:r>
          </w:p>
        </w:tc>
        <w:tc>
          <w:tcPr>
            <w:tcW w:w="731" w:type="dxa"/>
            <w:vMerge w:val="restart"/>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灾害救助</w:t>
            </w:r>
          </w:p>
        </w:tc>
        <w:tc>
          <w:tcPr>
            <w:tcW w:w="709"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应急管理部门审批</w:t>
            </w:r>
          </w:p>
        </w:tc>
        <w:tc>
          <w:tcPr>
            <w:tcW w:w="234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救助款物通知及划拨情况</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《中华人民共和国政府信息公开条例》（国务院令第711号）、《自然灾害救助条例》（国务院令第577号）</w:t>
            </w:r>
          </w:p>
        </w:tc>
        <w:tc>
          <w:tcPr>
            <w:tcW w:w="162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信息形成或变更之日起20个工作日内</w:t>
            </w:r>
          </w:p>
        </w:tc>
        <w:tc>
          <w:tcPr>
            <w:tcW w:w="1475" w:type="dxa"/>
            <w:vAlign w:val="center"/>
          </w:tcPr>
          <w:p>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4</w:t>
            </w:r>
          </w:p>
        </w:tc>
        <w:tc>
          <w:tcPr>
            <w:tcW w:w="731" w:type="dxa"/>
            <w:vMerge w:val="continue"/>
            <w:vAlign w:val="center"/>
          </w:tcPr>
          <w:p>
            <w:pPr>
              <w:jc w:val="center"/>
              <w:rPr>
                <w:rFonts w:hint="eastAsia" w:ascii="仿宋_GB2312" w:hAnsi="仿宋_GB2312" w:eastAsia="仿宋_GB2312" w:cs="仿宋_GB2312"/>
                <w:sz w:val="18"/>
                <w:szCs w:val="18"/>
              </w:rPr>
            </w:pPr>
          </w:p>
        </w:tc>
        <w:tc>
          <w:tcPr>
            <w:tcW w:w="709"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因灾过渡期生活救助</w:t>
            </w:r>
          </w:p>
        </w:tc>
        <w:tc>
          <w:tcPr>
            <w:tcW w:w="2340" w:type="dxa"/>
            <w:vAlign w:val="center"/>
          </w:tcPr>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因灾过渡期生活救助标准、过渡期生活救助对象评议结果公示（灾民姓名、受灾情况、拟救助金额、监督举报电话）                   过渡期生活救助对象确定（灾民姓名、受灾情况、救助金额、监督举报电话</w:t>
            </w:r>
            <w:r>
              <w:rPr>
                <w:rFonts w:hint="eastAsia" w:ascii="仿宋_GB2312" w:hAnsi="仿宋_GB2312" w:eastAsia="仿宋_GB2312" w:cs="仿宋_GB2312"/>
                <w:sz w:val="18"/>
                <w:szCs w:val="18"/>
                <w:lang w:eastAsia="zh-CN"/>
              </w:rPr>
              <w:t>）</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《中华人民共和国政府信息公开条例》（国务院令第711号）、《自然灾害救助条例》（国务院令第577号）</w:t>
            </w:r>
          </w:p>
        </w:tc>
        <w:tc>
          <w:tcPr>
            <w:tcW w:w="162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信息形成或变更之日起20个工作日内</w:t>
            </w:r>
          </w:p>
        </w:tc>
        <w:tc>
          <w:tcPr>
            <w:tcW w:w="1475" w:type="dxa"/>
            <w:vAlign w:val="center"/>
          </w:tcPr>
          <w:p>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5</w:t>
            </w:r>
          </w:p>
        </w:tc>
        <w:tc>
          <w:tcPr>
            <w:tcW w:w="73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灾后救助</w:t>
            </w:r>
          </w:p>
        </w:tc>
        <w:tc>
          <w:tcPr>
            <w:tcW w:w="709"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居民住房恢复重建救助</w:t>
            </w:r>
          </w:p>
        </w:tc>
        <w:tc>
          <w:tcPr>
            <w:tcW w:w="234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居民住房恢复重建救助标准（居民因灾倒房、损房恢复重建具体救助标准）                            </w:t>
            </w:r>
          </w:p>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居民住房恢复重建救助对象评议结果公示（公开灾民姓名、受灾情况、拟救助标准、监督举报电话）</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《中华人民共和国政府信息公开条例》（国务院令第711号）、《自然灾害救助条例》（国务院令第577号）</w:t>
            </w:r>
          </w:p>
        </w:tc>
        <w:tc>
          <w:tcPr>
            <w:tcW w:w="162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信息形成或变更之日起20个工作日内</w:t>
            </w:r>
          </w:p>
        </w:tc>
        <w:tc>
          <w:tcPr>
            <w:tcW w:w="1475" w:type="dxa"/>
            <w:vAlign w:val="center"/>
          </w:tcPr>
          <w:p>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6</w:t>
            </w:r>
          </w:p>
        </w:tc>
        <w:tc>
          <w:tcPr>
            <w:tcW w:w="73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工作动态</w:t>
            </w:r>
          </w:p>
        </w:tc>
        <w:tc>
          <w:tcPr>
            <w:tcW w:w="709"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工作信息</w:t>
            </w:r>
          </w:p>
        </w:tc>
        <w:tc>
          <w:tcPr>
            <w:tcW w:w="234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防灾减灾救灾其他相关动态信息</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w:t>
            </w:r>
          </w:p>
        </w:tc>
        <w:tc>
          <w:tcPr>
            <w:tcW w:w="162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按进展情况及时公开</w:t>
            </w:r>
          </w:p>
        </w:tc>
        <w:tc>
          <w:tcPr>
            <w:tcW w:w="1475" w:type="dxa"/>
            <w:vAlign w:val="center"/>
          </w:tcPr>
          <w:p>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pPr>
              <w:rPr>
                <w:rFonts w:hint="eastAsia" w:ascii="仿宋_GB2312" w:hAnsi="仿宋_GB2312" w:eastAsia="仿宋_GB2312" w:cs="仿宋_GB2312"/>
                <w:sz w:val="18"/>
                <w:szCs w:val="18"/>
              </w:rPr>
            </w:pPr>
          </w:p>
        </w:tc>
        <w:tc>
          <w:tcPr>
            <w:tcW w:w="505"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86" w:type="dxa"/>
            <w:vMerge w:val="continue"/>
            <w:vAlign w:val="center"/>
          </w:tcPr>
          <w:p>
            <w:pPr>
              <w:widowControl/>
              <w:jc w:val="center"/>
              <w:rPr>
                <w:rFonts w:ascii="Times New Roman" w:hAnsi="Times New Roman" w:eastAsia="黑体" w:cs="宋体"/>
                <w:kern w:val="0"/>
                <w:sz w:val="22"/>
              </w:rPr>
            </w:pPr>
          </w:p>
        </w:tc>
        <w:tc>
          <w:tcPr>
            <w:tcW w:w="172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仿宋"/>
                <w:sz w:val="30"/>
                <w:szCs w:val="30"/>
              </w:rPr>
              <w:t>√</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监督检查</w:t>
            </w: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食品生产经营监督检查</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检查制度、检查标准、检查结果等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食品安全法》《中华人民共和国政府信息公开条例》《关于全面推进政务公开工作的意见》《食品生产经营日常监督检查管理办法》《食品药品安全监管信息公开管理办法》</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行政处罚</w:t>
            </w:r>
          </w:p>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食品生产经营行政处罚</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处罚对象、案件名称、违法主要事实、处罚种类和内容、处罚依据、作出处罚决定部门、处罚时间、处罚决定书文号、处罚履行方式和期限等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《中华人民共和国政府信息公开条例》《关于全面推进政务公开工作的意见》《食品药品行政处罚案件信息公开实施细则》《市场监督管理行政处罚程序暂行规定》</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行政处罚决定形成之日起20个工作日内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Merge w:val="continue"/>
            <w:vAlign w:val="center"/>
          </w:tcPr>
          <w:p>
            <w:pPr>
              <w:jc w:val="center"/>
              <w:rPr>
                <w:rFonts w:ascii="Times New Roman" w:hAnsi="Times New Roman" w:eastAsia="仿宋_GB2312"/>
                <w:sz w:val="18"/>
                <w:szCs w:val="18"/>
              </w:rPr>
            </w:pPr>
          </w:p>
        </w:tc>
        <w:tc>
          <w:tcPr>
            <w:tcW w:w="663" w:type="dxa"/>
            <w:vMerge w:val="continue"/>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医疗器械监管行政处罚</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行政处罚结果（含行政处罚决定或行政处罚决定书等）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《中华人民共和国政府信息公开条例》《关于全面推进政务公开工作的意见》《食品药品行政处罚案件信息公开实施细则》《市场监督管理行政处罚程序暂行规定》</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行政处罚决定形成之日起20个工作日内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hint="eastAsia"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Merge w:val="continue"/>
            <w:vAlign w:val="center"/>
          </w:tcPr>
          <w:p>
            <w:pPr>
              <w:jc w:val="center"/>
              <w:rPr>
                <w:rFonts w:ascii="Times New Roman" w:hAnsi="Times New Roman" w:eastAsia="仿宋_GB2312"/>
                <w:sz w:val="18"/>
                <w:szCs w:val="18"/>
              </w:rPr>
            </w:pPr>
          </w:p>
        </w:tc>
        <w:tc>
          <w:tcPr>
            <w:tcW w:w="663" w:type="dxa"/>
            <w:vMerge w:val="continue"/>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药品监管行政处罚</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行政处罚结果（含行政处罚决定或行政处罚决定书等）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《中华人民共和国政府信息公开条例》《关于全面推进政务公开工作的意见》《食品药品行政处罚案件信息公开实施细则》《市场监督管理行政处罚程序暂行规定》</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行政处罚决定形成之日起20个工作日内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hint="eastAsia"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vAlign w:val="center"/>
          </w:tcPr>
          <w:p>
            <w:pPr>
              <w:jc w:val="center"/>
              <w:rPr>
                <w:rFonts w:ascii="Times New Roman" w:hAnsi="Times New Roman" w:eastAsia="仿宋_GB2312"/>
                <w:sz w:val="18"/>
                <w:szCs w:val="18"/>
              </w:rPr>
            </w:pPr>
          </w:p>
        </w:tc>
        <w:tc>
          <w:tcPr>
            <w:tcW w:w="663" w:type="dxa"/>
            <w:vMerge w:val="continue"/>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化妆品监管行政处罚</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行政处罚结果（含行政处罚决定或行政处罚决定书等）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《中华人民共和国政府信息公开条例》《关于全面推进政务公开工作的意见》《食品药品行政处罚案件信息公开实施细则》《市场监督管理行政处罚程序暂行规定》</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行政处罚决定形成之日起20个工作日内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val="en-US" w:eastAsia="zh-CN"/>
              </w:rPr>
              <w:t>3</w:t>
            </w:r>
          </w:p>
        </w:tc>
        <w:tc>
          <w:tcPr>
            <w:tcW w:w="663"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公共服务</w:t>
            </w:r>
          </w:p>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食品安全消费提示警示</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食品安全消费提示、警示信息</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信息形成之日起7个工作日内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食品安全应急处置</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应急组织机构及职责、应急保障、监测预警、应急响应、热点问题落实情况等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食品药品投诉举报</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食品药品投诉举报管理制度和政策、受理投诉举报的途径等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《中华人民共和国政府信息公开条例》《关于全面推进政务公开工作的意见》《市场监督管理投诉举报处理暂行办法》</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食品用药安全宣传活动</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活动时间、活动地点、活动形式、活动主题和内容等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信息形成之日起7个工作日内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（十）涉农补贴领域基层政务公开目录</w:t>
      </w:r>
    </w:p>
    <w:bookmarkEnd w:id="0"/>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1</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《农业生产发展资金管理办法》（财农〔2017〕41号）、《财政部 农业</w:t>
            </w:r>
            <w:r>
              <w:rPr>
                <w:rFonts w:hint="eastAsia" w:ascii="Times New Roman" w:hAnsi="Times New Roman" w:eastAsia="仿宋_GB2312" w:cs="仿宋_GB2312"/>
                <w:kern w:val="0"/>
                <w:sz w:val="18"/>
                <w:szCs w:val="18"/>
                <w:lang w:val="en-US" w:eastAsia="zh-CN"/>
              </w:rPr>
              <w:t>农村</w:t>
            </w:r>
            <w:r>
              <w:rPr>
                <w:rFonts w:hint="eastAsia" w:ascii="Times New Roman" w:hAnsi="Times New Roman" w:eastAsia="仿宋_GB2312" w:cs="仿宋_GB2312"/>
                <w:kern w:val="0"/>
                <w:sz w:val="18"/>
                <w:szCs w:val="18"/>
              </w:rPr>
              <w:t>部关于全面推开农业“三项补贴”改革工作的通知》（财农〔2016〕26号）、《</w:t>
            </w:r>
            <w:r>
              <w:rPr>
                <w:rFonts w:hint="eastAsia" w:ascii="Times New Roman" w:hAnsi="Times New Roman" w:eastAsia="仿宋_GB2312" w:cs="仿宋_GB2312"/>
                <w:kern w:val="0"/>
                <w:sz w:val="18"/>
                <w:szCs w:val="18"/>
                <w:lang w:val="en-US" w:eastAsia="zh-CN"/>
              </w:rPr>
              <w:t>2023年浏阳市</w:t>
            </w:r>
            <w:r>
              <w:rPr>
                <w:rFonts w:hint="eastAsia" w:ascii="Times New Roman" w:hAnsi="Times New Roman" w:eastAsia="仿宋_GB2312" w:cs="仿宋_GB2312"/>
                <w:kern w:val="0"/>
                <w:sz w:val="18"/>
                <w:szCs w:val="18"/>
              </w:rPr>
              <w:t>耕地地力保护</w:t>
            </w:r>
            <w:r>
              <w:rPr>
                <w:rFonts w:hint="eastAsia" w:ascii="Times New Roman" w:hAnsi="Times New Roman" w:eastAsia="仿宋_GB2312" w:cs="仿宋_GB2312"/>
                <w:kern w:val="0"/>
                <w:sz w:val="18"/>
                <w:szCs w:val="18"/>
                <w:lang w:val="en-US" w:eastAsia="zh-CN"/>
              </w:rPr>
              <w:t>补贴工作</w:t>
            </w:r>
            <w:r>
              <w:rPr>
                <w:rFonts w:hint="eastAsia" w:ascii="Times New Roman" w:hAnsi="Times New Roman" w:eastAsia="仿宋_GB2312" w:cs="仿宋_GB2312"/>
                <w:kern w:val="0"/>
                <w:sz w:val="18"/>
                <w:szCs w:val="18"/>
              </w:rPr>
              <w:t>实施方案》</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w:t>
            </w:r>
            <w:r>
              <w:rPr>
                <w:rFonts w:hint="eastAsia" w:ascii="Times New Roman" w:hAnsi="Times New Roman" w:eastAsia="仿宋_GB2312" w:cs="仿宋_GB2312"/>
                <w:kern w:val="0"/>
                <w:sz w:val="18"/>
                <w:szCs w:val="18"/>
                <w:lang w:eastAsia="zh-CN"/>
              </w:rPr>
              <w:t>法律法规</w:t>
            </w:r>
            <w:r>
              <w:rPr>
                <w:rFonts w:hint="eastAsia" w:ascii="Times New Roman" w:hAnsi="Times New Roman" w:eastAsia="仿宋_GB2312" w:cs="仿宋_GB2312"/>
                <w:kern w:val="0"/>
                <w:sz w:val="18"/>
                <w:szCs w:val="18"/>
              </w:rPr>
              <w:t>对政府信息公开的期限另有规定的，从其规定。</w:t>
            </w:r>
          </w:p>
        </w:tc>
        <w:tc>
          <w:tcPr>
            <w:tcW w:w="1475" w:type="dxa"/>
            <w:vAlign w:val="center"/>
          </w:tcPr>
          <w:p>
            <w:pPr>
              <w:widowControl/>
              <w:jc w:val="both"/>
              <w:textAlignment w:val="center"/>
              <w:rPr>
                <w:rFonts w:hint="default" w:ascii="Times New Roman" w:hAnsi="Times New Roman" w:eastAsia="仿宋_GB2312" w:cs="宋体"/>
                <w:sz w:val="18"/>
                <w:szCs w:val="18"/>
                <w:lang w:val="en-US"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社区/企事业单位/村公示栏（电子屏）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一</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974"/>
        <w:gridCol w:w="1355"/>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9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974" w:type="dxa"/>
            <w:vMerge w:val="continue"/>
            <w:vAlign w:val="center"/>
          </w:tcPr>
          <w:p>
            <w:pPr>
              <w:widowControl/>
              <w:jc w:val="center"/>
              <w:rPr>
                <w:rFonts w:ascii="Times New Roman" w:hAnsi="Times New Roman" w:eastAsia="黑体" w:cs="宋体"/>
                <w:kern w:val="0"/>
                <w:sz w:val="22"/>
              </w:rPr>
            </w:pPr>
          </w:p>
        </w:tc>
        <w:tc>
          <w:tcPr>
            <w:tcW w:w="1355"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 xml:space="preserve">办事指南相关信息，包括：法律法规和政策文件 、适用范围、办理依据、办理条件、申办材料、办理方式、办理流程、办理时限、收费依据及标准、结果送达、咨询方式、监督投诉渠道、办理地址和时间、办理进程、结果查询 </w:t>
            </w:r>
          </w:p>
        </w:tc>
        <w:tc>
          <w:tcPr>
            <w:tcW w:w="2974"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《国家卫生健康委办公厅关于做好生育登记服务工作的指导意见》（国卫办指导发〔2016〕20 号）</w:t>
            </w:r>
          </w:p>
        </w:tc>
        <w:tc>
          <w:tcPr>
            <w:tcW w:w="1355"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■政务服务中心 </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■便民服务站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■其他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 xml:space="preserve">法律法规和政策文件；服务对象；服务机构信息，包括名称、地点、服务时间；服务项目和内容；服务流程；服务要求；投诉举报电话以及网上投诉渠道 </w:t>
            </w:r>
          </w:p>
        </w:tc>
        <w:tc>
          <w:tcPr>
            <w:tcW w:w="2974"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《疫苗流通和预防接种管理条例》（中华人民共和国国务院令第 434 号</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2016 年 4 月 23 日《国务院关于修改</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疫苗流通和预防接种管理条例</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的决定》修订）</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《国家基本公共卫生服务规范（第三版）》（国卫基层发〔2017〕13 号）</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《关于做好 2017年国家基本公共卫生服务项目工作的通知》（国卫基层发〔2017〕46 号）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《关于做好 2018年国家基本公共卫生服务项目工作的通知》（国卫基层发〔2018〕18 号） </w:t>
            </w:r>
          </w:p>
        </w:tc>
        <w:tc>
          <w:tcPr>
            <w:tcW w:w="13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 xml:space="preserve">自信息形成或者变更之日起 20 个工作日内予以公开 </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■政务服务中心 </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 xml:space="preserve">■其他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w:t>
            </w: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健康教育 </w:t>
            </w:r>
          </w:p>
        </w:tc>
        <w:tc>
          <w:tcPr>
            <w:tcW w:w="23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法律法规和政策文件 </w:t>
            </w:r>
          </w:p>
        </w:tc>
        <w:tc>
          <w:tcPr>
            <w:tcW w:w="2974"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《国家基本公共卫生服务规范（第三版）》（国卫基层发</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〔2017〕13 号）</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《关于做好 2017年国家基本公共卫生服务项目工作的通知》（国卫基层发〔2017〕46 号）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《关于做好 2018年国家基本公共卫生服务项目工作的通知》（国卫基层发〔2018〕18 号） </w:t>
            </w:r>
          </w:p>
        </w:tc>
        <w:tc>
          <w:tcPr>
            <w:tcW w:w="1355"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 xml:space="preserve">自信息形成或者变更之日起 20 个工作日内予以公开 </w:t>
            </w:r>
          </w:p>
        </w:tc>
        <w:tc>
          <w:tcPr>
            <w:tcW w:w="1286" w:type="dxa"/>
            <w:vAlign w:val="center"/>
          </w:tcPr>
          <w:p>
            <w:pPr>
              <w:widowControl/>
              <w:textAlignment w:val="center"/>
              <w:rPr>
                <w:rFonts w:hint="default" w:ascii="Times New Roman" w:hAnsi="Times New Roman" w:eastAsia="仿宋_GB2312" w:cs="宋体"/>
                <w:kern w:val="0"/>
                <w:sz w:val="18"/>
                <w:szCs w:val="18"/>
                <w:lang w:val="en-US"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■政务服务中心 </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■其他 </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rPr>
          <w:rFonts w:ascii="Times New Roman" w:hAnsi="Times New Roman" w:cs="宋体"/>
          <w:sz w:val="28"/>
          <w:szCs w:val="32"/>
        </w:rPr>
      </w:pPr>
    </w:p>
    <w:p/>
    <w:p/>
    <w:p/>
    <w:p/>
    <w:p/>
    <w:p/>
    <w:p/>
    <w:p/>
    <w:p/>
    <w:p/>
    <w:p/>
    <w:p/>
    <w:p/>
    <w:p/>
    <w:p/>
    <w:p/>
    <w:p/>
    <w:p/>
    <w:p>
      <w:pPr>
        <w:jc w:val="center"/>
        <w:rPr>
          <w:rFonts w:hint="eastAsia" w:eastAsia="宋体"/>
          <w:b/>
          <w:bCs/>
          <w:sz w:val="40"/>
          <w:szCs w:val="44"/>
          <w:lang w:eastAsia="zh-CN"/>
        </w:rPr>
      </w:pPr>
      <w:r>
        <w:rPr>
          <w:rFonts w:hint="eastAsia"/>
          <w:b/>
          <w:bCs/>
          <w:sz w:val="40"/>
          <w:szCs w:val="44"/>
          <w:lang w:eastAsia="zh-CN"/>
        </w:rPr>
        <w:t>（十二）农村集体土地征收领域基层政务公开目录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restart"/>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w:t>
            </w:r>
          </w:p>
        </w:tc>
        <w:tc>
          <w:tcPr>
            <w:tcW w:w="720" w:type="dxa"/>
            <w:vMerge w:val="restart"/>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征地前期准备</w:t>
            </w:r>
          </w:p>
        </w:tc>
        <w:tc>
          <w:tcPr>
            <w:tcW w:w="720" w:type="dxa"/>
            <w:vMerge w:val="restart"/>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拟征收土地公告</w:t>
            </w:r>
          </w:p>
        </w:tc>
        <w:tc>
          <w:tcPr>
            <w:tcW w:w="2340" w:type="dxa"/>
            <w:vMerge w:val="restart"/>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在拟征收土地前，应明确征收土地有关事项并予以公开。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1.拟征收土地用途；</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2.拟征收土地的位置和范围；</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3.征地补偿标准、地上附着物及青苗标准；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4.开展土地现状调查的安排。</w:t>
            </w:r>
          </w:p>
        </w:tc>
        <w:tc>
          <w:tcPr>
            <w:tcW w:w="2712" w:type="dxa"/>
            <w:vMerge w:val="restart"/>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《国务院关于深化改革严格土地管理的决定》（国发〔2004〕28号）</w:t>
            </w:r>
          </w:p>
        </w:tc>
        <w:tc>
          <w:tcPr>
            <w:tcW w:w="1617"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rPr>
              <w:t>在实地启动拟征收土地工作时，在村公示栏公开</w:t>
            </w:r>
            <w:r>
              <w:rPr>
                <w:rFonts w:hint="eastAsia" w:ascii="Times New Roman" w:hAnsi="Times New Roman" w:eastAsia="仿宋_GB2312"/>
                <w:kern w:val="0"/>
                <w:sz w:val="18"/>
                <w:szCs w:val="18"/>
                <w:lang w:eastAsia="zh-CN"/>
              </w:rPr>
              <w:t>。</w:t>
            </w:r>
          </w:p>
        </w:tc>
        <w:tc>
          <w:tcPr>
            <w:tcW w:w="1286" w:type="dxa"/>
            <w:vMerge w:val="restart"/>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Merge w:val="restart"/>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w:t>
            </w:r>
          </w:p>
        </w:tc>
        <w:tc>
          <w:tcPr>
            <w:tcW w:w="573" w:type="dxa"/>
            <w:vAlign w:val="center"/>
          </w:tcPr>
          <w:p>
            <w:pPr>
              <w:widowControl/>
              <w:textAlignment w:val="center"/>
              <w:rPr>
                <w:rFonts w:hint="eastAsia" w:ascii="Times New Roman" w:hAnsi="Times New Roman" w:eastAsia="仿宋_GB2312"/>
                <w:kern w:val="0"/>
                <w:sz w:val="18"/>
                <w:szCs w:val="18"/>
              </w:rPr>
            </w:pPr>
          </w:p>
        </w:tc>
        <w:tc>
          <w:tcPr>
            <w:tcW w:w="614"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pPr>
              <w:widowControl/>
              <w:textAlignment w:val="center"/>
              <w:rPr>
                <w:rFonts w:hint="eastAsia" w:ascii="Times New Roman" w:hAnsi="Times New Roman" w:eastAsia="仿宋_GB2312"/>
                <w:kern w:val="0"/>
                <w:sz w:val="18"/>
                <w:szCs w:val="18"/>
              </w:rPr>
            </w:pP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p>
        </w:tc>
        <w:tc>
          <w:tcPr>
            <w:tcW w:w="691"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2340" w:type="dxa"/>
            <w:vMerge w:val="continue"/>
            <w:vAlign w:val="center"/>
          </w:tcPr>
          <w:p>
            <w:pPr>
              <w:widowControl/>
              <w:jc w:val="left"/>
              <w:textAlignment w:val="center"/>
              <w:rPr>
                <w:rFonts w:hint="eastAsia" w:ascii="Times New Roman" w:hAnsi="Times New Roman" w:eastAsia="仿宋_GB2312"/>
                <w:kern w:val="0"/>
                <w:sz w:val="18"/>
                <w:szCs w:val="18"/>
              </w:rPr>
            </w:pPr>
          </w:p>
        </w:tc>
        <w:tc>
          <w:tcPr>
            <w:tcW w:w="2712" w:type="dxa"/>
            <w:vMerge w:val="continue"/>
            <w:vAlign w:val="center"/>
          </w:tcPr>
          <w:p>
            <w:pPr>
              <w:widowControl/>
              <w:textAlignment w:val="center"/>
              <w:rPr>
                <w:rFonts w:hint="eastAsia" w:ascii="Times New Roman" w:hAnsi="Times New Roman" w:eastAsia="仿宋_GB2312"/>
                <w:kern w:val="0"/>
                <w:sz w:val="18"/>
                <w:szCs w:val="18"/>
              </w:rPr>
            </w:pP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收到征地批准文件之日起10个工作日内，在政府网站、征地信息公开平台公开。</w:t>
            </w:r>
          </w:p>
        </w:tc>
        <w:tc>
          <w:tcPr>
            <w:tcW w:w="1286" w:type="dxa"/>
            <w:vMerge w:val="continue"/>
            <w:vAlign w:val="center"/>
          </w:tcPr>
          <w:p>
            <w:pPr>
              <w:widowControl/>
              <w:textAlignment w:val="center"/>
              <w:rPr>
                <w:rFonts w:hint="eastAsia" w:ascii="Times New Roman" w:hAnsi="Times New Roman" w:eastAsia="仿宋_GB2312"/>
                <w:kern w:val="0"/>
                <w:sz w:val="18"/>
                <w:szCs w:val="18"/>
                <w:lang w:eastAsia="zh-CN"/>
              </w:rPr>
            </w:pPr>
          </w:p>
        </w:tc>
        <w:tc>
          <w:tcPr>
            <w:tcW w:w="1840" w:type="dxa"/>
            <w:vMerge w:val="continue"/>
            <w:vAlign w:val="center"/>
          </w:tcPr>
          <w:p>
            <w:pPr>
              <w:widowControl/>
              <w:textAlignment w:val="center"/>
              <w:rPr>
                <w:rFonts w:hint="eastAsia" w:ascii="Times New Roman" w:hAnsi="Times New Roman" w:eastAsia="仿宋_GB2312"/>
                <w:kern w:val="0"/>
                <w:sz w:val="18"/>
                <w:szCs w:val="18"/>
              </w:rPr>
            </w:pP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拟征收土地现状调查</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拟征收土地现状调查结果按规定确认后，调查结果予以公开。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1.征收土地勘测调查表；</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2.地上附着物和青苗调查登记表；</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〔*土地勘测定界图件（涉及国家秘密的项目除外；图件应按有关法律法规规定予以技术处理）〕。</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bCs/>
                <w:sz w:val="18"/>
                <w:szCs w:val="18"/>
              </w:rPr>
              <w:t>中华人民共和国</w:t>
            </w:r>
            <w:r>
              <w:rPr>
                <w:rFonts w:hint="eastAsia" w:ascii="Times New Roman" w:hAnsi="Times New Roman" w:eastAsia="仿宋_GB2312"/>
                <w:kern w:val="0"/>
                <w:sz w:val="18"/>
                <w:szCs w:val="18"/>
              </w:rPr>
              <w:t>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2.《国务院关于深化改革严格土地管理的决定》（国发〔2004〕28号）</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拟定《征地补偿安置方案》后5个工作日内公开。</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w:t>
            </w:r>
          </w:p>
          <w:p>
            <w:pPr>
              <w:widowControl/>
              <w:textAlignment w:val="center"/>
              <w:rPr>
                <w:rFonts w:hint="eastAsia" w:ascii="Times New Roman" w:hAnsi="Times New Roman" w:eastAsia="仿宋_GB2312"/>
                <w:kern w:val="0"/>
                <w:sz w:val="18"/>
                <w:szCs w:val="18"/>
              </w:rPr>
            </w:pPr>
          </w:p>
          <w:p>
            <w:pPr>
              <w:widowControl/>
              <w:textAlignment w:val="center"/>
              <w:rPr>
                <w:rFonts w:hint="eastAsia" w:ascii="Times New Roman" w:hAnsi="Times New Roman" w:eastAsia="仿宋_GB2312"/>
                <w:kern w:val="0"/>
                <w:sz w:val="18"/>
                <w:szCs w:val="18"/>
              </w:rPr>
            </w:pPr>
          </w:p>
        </w:tc>
        <w:tc>
          <w:tcPr>
            <w:tcW w:w="573" w:type="dxa"/>
            <w:vAlign w:val="center"/>
          </w:tcPr>
          <w:p>
            <w:pPr>
              <w:widowControl/>
              <w:textAlignment w:val="center"/>
              <w:rPr>
                <w:rFonts w:hint="eastAsia" w:ascii="Times New Roman" w:hAnsi="Times New Roman" w:eastAsia="仿宋_GB2312"/>
                <w:kern w:val="0"/>
                <w:sz w:val="18"/>
                <w:szCs w:val="18"/>
              </w:rPr>
            </w:pPr>
          </w:p>
        </w:tc>
        <w:tc>
          <w:tcPr>
            <w:tcW w:w="614"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征地补偿安置方案公告</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拟征地现状确认之后，县（市、区）自然资源主管部门和负责农村集体土地征收的有关部门拟定《征地补偿安置方案》并予以公开。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1.被征收土地的位置、地类、面积，地上附着物和青苗的种类、数量；</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2.土地补偿费和安置补助费的标准、数额；</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3.地上附着物和青苗的补偿标准；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4.社会保障费办法；</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5.农业人员安置具体途径；</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6.其他有关征地补偿、安置的具体措施；</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7.听证等救济途径；</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〔*征地补偿安置方案前置的，在前置环节一并公开〕。</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1.《国土资源部办公厅关于进一步做好市县征地信息公开工作有关问题的通知》（国土资厅发〔2014〕29号）；</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2.《征收土地公告办法》</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拟定《征地补偿安置方案》后5个工作日内公开。</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w:t>
            </w:r>
          </w:p>
        </w:tc>
        <w:tc>
          <w:tcPr>
            <w:tcW w:w="573" w:type="dxa"/>
            <w:vAlign w:val="center"/>
          </w:tcPr>
          <w:p>
            <w:pPr>
              <w:widowControl/>
              <w:textAlignment w:val="center"/>
              <w:rPr>
                <w:rFonts w:hint="eastAsia" w:ascii="Times New Roman" w:hAnsi="Times New Roman" w:eastAsia="仿宋_GB2312"/>
                <w:kern w:val="0"/>
                <w:sz w:val="18"/>
                <w:szCs w:val="18"/>
              </w:rPr>
            </w:pPr>
          </w:p>
        </w:tc>
        <w:tc>
          <w:tcPr>
            <w:tcW w:w="614"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征地批准文件</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有权一级人民政府批准用地的批复文件、地方人民政府转发批复文件应予以公开。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1.国务院批准用地批复文件（指用地由国务院批准）；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2.省级人民政府批准用地批复文件（指用地由省级人民政府批准）；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3.国务院批准城市用地后省级人民政府审核同意实施方案文件；</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4.地方人民政府转发用地批复文件；</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5.其他用地批准文件。</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bCs/>
                <w:sz w:val="18"/>
                <w:szCs w:val="18"/>
              </w:rPr>
              <w:t>中华人民共和国</w:t>
            </w:r>
            <w:r>
              <w:rPr>
                <w:rFonts w:hint="eastAsia" w:ascii="Times New Roman" w:hAnsi="Times New Roman" w:eastAsia="仿宋_GB2312"/>
                <w:kern w:val="0"/>
                <w:sz w:val="18"/>
                <w:szCs w:val="18"/>
              </w:rPr>
              <w:t>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政府网站     ▲征地信息公开平台      ▲社区/企事业单位/村公示栏（电子屏）□政府公报</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□政务服务中心</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□精准推送 □其他</w:t>
            </w: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征地组织实施</w:t>
            </w:r>
          </w:p>
        </w:tc>
        <w:tc>
          <w:tcPr>
            <w:tcW w:w="720"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征收土地公告</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根据用地批复文件，县（市、区）人民政府拟定征收土地公告并予以公开。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1.征地批准机关、批准文号、批准时间和批准用途；</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2.被征收土地的所有权人、位置、地类、面积；</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3.征地补偿标准、农业人口安置方式、社会保障途径等；</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4.办理征地补偿登记的期限、地点和要求；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5.救济途径。</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1.《</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土地管理法》；</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2.《征收土地公告办法》</w:t>
            </w:r>
          </w:p>
        </w:tc>
        <w:tc>
          <w:tcPr>
            <w:tcW w:w="1617"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发布征收土地方案公告之日起10个工作日内公开。</w:t>
            </w:r>
          </w:p>
        </w:tc>
        <w:tc>
          <w:tcPr>
            <w:tcW w:w="1286" w:type="dxa"/>
            <w:vAlign w:val="center"/>
          </w:tcPr>
          <w:p>
            <w:pPr>
              <w:widowControl/>
              <w:jc w:val="left"/>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茶亭镇人民政府</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政府网站     ▲征地信息公开平台       ▲社区/企事业单位/村公示栏（电子屏）</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两微一端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□纸质媒体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入户/现场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w:t>
            </w:r>
          </w:p>
        </w:tc>
        <w:tc>
          <w:tcPr>
            <w:tcW w:w="57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jc w:val="left"/>
              <w:textAlignment w:val="center"/>
              <w:rPr>
                <w:rFonts w:hint="eastAsia" w:ascii="Times New Roman" w:hAnsi="Times New Roman" w:eastAsia="仿宋_GB2312"/>
                <w:kern w:val="0"/>
                <w:sz w:val="18"/>
                <w:szCs w:val="18"/>
              </w:rPr>
            </w:pP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征地补偿登记汇总表。</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〔*征地补偿登记前置与征收土地现状调查合并进行的，在前置环节一并公开〕。</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bCs/>
                <w:sz w:val="18"/>
                <w:szCs w:val="18"/>
              </w:rPr>
              <w:t>中华人民共和国</w:t>
            </w:r>
            <w:r>
              <w:rPr>
                <w:rFonts w:hint="eastAsia" w:ascii="Times New Roman" w:hAnsi="Times New Roman" w:eastAsia="仿宋_GB2312"/>
                <w:kern w:val="0"/>
                <w:sz w:val="18"/>
                <w:szCs w:val="18"/>
              </w:rPr>
              <w:t>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征地补偿登记结束后5个工作日内公开。公示结束后，转为依申请公开。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■社区/企事业单位/村公示栏（电子屏）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□政府公报</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发布会/听证会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政务服务中心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入户/现场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其他</w:t>
            </w:r>
          </w:p>
        </w:tc>
        <w:tc>
          <w:tcPr>
            <w:tcW w:w="573" w:type="dxa"/>
            <w:vAlign w:val="center"/>
          </w:tcPr>
          <w:p>
            <w:pPr>
              <w:widowControl/>
              <w:jc w:val="left"/>
              <w:textAlignment w:val="center"/>
              <w:rPr>
                <w:rFonts w:hint="eastAsia" w:ascii="Times New Roman" w:hAnsi="Times New Roman" w:eastAsia="仿宋_GB2312"/>
                <w:kern w:val="0"/>
                <w:sz w:val="18"/>
                <w:szCs w:val="18"/>
              </w:rPr>
            </w:pPr>
          </w:p>
        </w:tc>
        <w:tc>
          <w:tcPr>
            <w:tcW w:w="614"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征地补偿安置方案听证</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依申请开展听证工作的，听证结果公开。按征地补偿安置方案公告确定的时间制作《听证通知书》；按《听证通知书》规定的时间组织听证；实施听证的，公开听证相关材料。</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1.《听证通知书》；</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2.听证处理意见；</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〔*听证笔录有关资料〕。</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1.《国土资源听证规定》；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2.《国土资源部办公厅关于进一步做好市县征地信息公开工作有关问题的通知》（国土资厅发〔2014〕29号）</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①《听证通知书》应在组织听证7个工作日前予以公开；②其他听证公开内容在征地听证结束后5个工作日内公开。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■社区/企事业单位/村公示栏（电子屏）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□政府公报</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发布会/听证会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政务服务中心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入户/现场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其他</w:t>
            </w:r>
          </w:p>
        </w:tc>
        <w:tc>
          <w:tcPr>
            <w:tcW w:w="573" w:type="dxa"/>
            <w:vAlign w:val="center"/>
          </w:tcPr>
          <w:p>
            <w:pPr>
              <w:widowControl/>
              <w:jc w:val="left"/>
              <w:textAlignment w:val="center"/>
              <w:rPr>
                <w:rFonts w:hint="eastAsia" w:ascii="Times New Roman" w:hAnsi="Times New Roman" w:eastAsia="仿宋_GB2312"/>
                <w:kern w:val="0"/>
                <w:sz w:val="18"/>
                <w:szCs w:val="18"/>
              </w:rPr>
            </w:pPr>
          </w:p>
        </w:tc>
        <w:tc>
          <w:tcPr>
            <w:tcW w:w="614"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征地补偿费用支付</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征地补偿费用支付凭证。</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〔在被征地村公告栏张贴，予以公开，张贴之日起20个工作日后可依申请公开〕。</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1.《中华人民共和国政府信息公开条例》</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2.《征收土地公告办法》</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获得支付凭证后5个工作日内予以公开。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■社区/企事业单位/村公示栏（电子屏）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□政府公报</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发布会/听证会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政务服务中心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入户/现场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其他</w:t>
            </w:r>
          </w:p>
        </w:tc>
        <w:tc>
          <w:tcPr>
            <w:tcW w:w="573" w:type="dxa"/>
            <w:vAlign w:val="center"/>
          </w:tcPr>
          <w:p>
            <w:pPr>
              <w:widowControl/>
              <w:jc w:val="left"/>
              <w:textAlignment w:val="center"/>
              <w:rPr>
                <w:rFonts w:hint="eastAsia" w:ascii="Times New Roman" w:hAnsi="Times New Roman" w:eastAsia="仿宋_GB2312"/>
                <w:kern w:val="0"/>
                <w:sz w:val="18"/>
                <w:szCs w:val="18"/>
              </w:rPr>
            </w:pPr>
          </w:p>
        </w:tc>
        <w:tc>
          <w:tcPr>
            <w:tcW w:w="614"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bl>
    <w:p/>
    <w:p/>
    <w:p/>
    <w:p/>
    <w:p/>
    <w:p/>
    <w:p/>
    <w:p/>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eastAsia="宋体"/>
          <w:b/>
          <w:bCs/>
          <w:sz w:val="40"/>
          <w:szCs w:val="44"/>
          <w:lang w:eastAsia="zh-CN"/>
        </w:rPr>
      </w:pPr>
      <w:r>
        <w:rPr>
          <w:rFonts w:hint="eastAsia"/>
          <w:b/>
          <w:bCs/>
          <w:sz w:val="40"/>
          <w:szCs w:val="44"/>
          <w:lang w:eastAsia="zh-CN"/>
        </w:rPr>
        <w:t>（十三）扶贫领域基层政务公开目录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restart"/>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法规政策</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行政法规、规章</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中央及地方政府涉及扶贫领域的规章</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highlight w:val="none"/>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规范性文件</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各级政府及部门涉及扶贫领域的规范性文件</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其他政策文件</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涉及扶贫领域其他政策文件</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w:t>
            </w:r>
          </w:p>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 xml:space="preserve">■其他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贫困退出</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贫困人口退出</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办事指南相关信息，如：退出计划、退出标准（人均纯收入稳定超过国定标准、实现“两不愁三保障”）、退出程序（民主评议、村“两委”和驻村工作队核实、贫困户认可、公示公告、退出销号）</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《中共中央办公厅、国务院办公厅关于建立贫困退出机制的意见》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w:t>
            </w:r>
          </w:p>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 xml:space="preserve">■其他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restart"/>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w:t>
            </w:r>
          </w:p>
        </w:tc>
        <w:tc>
          <w:tcPr>
            <w:tcW w:w="720"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扶贫资金</w:t>
            </w:r>
          </w:p>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扶贫资金</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财政专项扶贫资金分配结果</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资金名称、分配结果</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资金分配结果下达15个工作日内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年度计划</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年度县级扶贫资金项目计划或贫困县涉农资金统筹整合方案（含调整方案）、计划安排情况（资金计划批复文件）、计划完成情况（项目建设完成、资金使用、绩效目标和减贫机制实现情况等）</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精准扶贫贷款</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扶贫小额信贷的贷款对象、用途、额度、期限、利率等情况</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享受扶贫贴息贷款的企业、专业合作社等经营主体的名称、贷款额度、期限、贴息规模和带贫减贫机制等情况</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每年底前集中公布1次当年情况</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行业扶贫相关财政资金和东西部扶贫协作财政支援资金使用情况</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项目名称、实施地点、资金规模、实施单位、带贫减贫机制、绩效目标</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restart"/>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4</w:t>
            </w:r>
          </w:p>
        </w:tc>
        <w:tc>
          <w:tcPr>
            <w:tcW w:w="720"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扶贫项目</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年度计划</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项目名称、实施地点、建设任务、补助标准、资金来源及规模、实施期限、实施单位、责任人、绩效目标、带贫减贫机制等</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《国务院扶贫办、财政部关于完善扶贫资金项目公告公示制度的指导意见》《国务院扶贫办关于完善县级脱贫攻坚项目库建设的指导意见》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项目实施</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扶贫项目实施前情况（包括项目名称、资金来源、实施期限、绩效目标、实施单位及责任人、受益对象和带贫减贫机制等）</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扶贫项目实施后情况（包括资金使用、项目实施结果、检查验收结果、绩效目标实现情况等）</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5</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监督管理</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监督举报</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监督电话0731-88062186</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bl>
    <w:p>
      <w:pPr>
        <w:ind w:firstLine="3614" w:firstLineChars="900"/>
        <w:rPr>
          <w:rFonts w:hint="eastAsia"/>
          <w:b/>
          <w:bCs/>
          <w:sz w:val="40"/>
          <w:szCs w:val="44"/>
          <w:lang w:eastAsia="zh-CN"/>
        </w:rPr>
      </w:pPr>
    </w:p>
    <w:p>
      <w:pPr>
        <w:ind w:firstLine="3614" w:firstLineChars="900"/>
        <w:rPr>
          <w:rFonts w:hint="eastAsia" w:eastAsia="宋体"/>
          <w:b/>
          <w:bCs/>
          <w:sz w:val="40"/>
          <w:szCs w:val="44"/>
          <w:lang w:eastAsia="zh-CN"/>
        </w:rPr>
      </w:pPr>
      <w:r>
        <w:rPr>
          <w:rFonts w:hint="eastAsia"/>
          <w:b/>
          <w:bCs/>
          <w:sz w:val="40"/>
          <w:szCs w:val="44"/>
          <w:lang w:eastAsia="zh-CN"/>
        </w:rPr>
        <w:t>（十四）公共文化服务领域基层政务公开目录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widowControl/>
              <w:jc w:val="center"/>
              <w:rPr>
                <w:rFonts w:hint="eastAsia" w:ascii="Times New Roman" w:hAnsi="Times New Roman" w:eastAsia="黑体" w:cs="宋体"/>
                <w:kern w:val="0"/>
                <w:sz w:val="22"/>
                <w:lang w:val="en-US" w:eastAsia="zh-CN"/>
              </w:rPr>
            </w:pPr>
            <w:r>
              <w:rPr>
                <w:rFonts w:hint="eastAsia" w:ascii="仿宋_GB2312" w:hAnsi="仿宋_GB2312" w:eastAsia="仿宋_GB2312" w:cs="仿宋_GB2312"/>
                <w:kern w:val="0"/>
                <w:sz w:val="18"/>
                <w:szCs w:val="18"/>
                <w:lang w:val="en-US" w:eastAsia="zh-CN"/>
              </w:rPr>
              <w:t>1</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公共文化机构免费开放信息</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服务指南相关信息，如：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kern w:val="0"/>
                <w:sz w:val="18"/>
                <w:szCs w:val="18"/>
                <w:lang w:eastAsia="zh-CN"/>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kern w:val="0"/>
                <w:sz w:val="18"/>
                <w:szCs w:val="18"/>
                <w:lang w:eastAsia="zh-CN"/>
              </w:rPr>
            </w:pPr>
          </w:p>
        </w:tc>
        <w:tc>
          <w:tcPr>
            <w:tcW w:w="723" w:type="dxa"/>
            <w:vAlign w:val="center"/>
          </w:tcPr>
          <w:p>
            <w:pPr>
              <w:rPr>
                <w:rFonts w:hint="eastAsia" w:ascii="仿宋_GB2312" w:hAnsi="仿宋_GB2312" w:eastAsia="仿宋_GB2312" w:cs="仿宋_GB2312"/>
                <w:kern w:val="0"/>
                <w:sz w:val="18"/>
                <w:szCs w:val="18"/>
                <w:lang w:eastAsia="zh-CN"/>
              </w:rPr>
            </w:pP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2" w:hRule="atLeast"/>
          <w:jc w:val="center"/>
        </w:trPr>
        <w:tc>
          <w:tcPr>
            <w:tcW w:w="540" w:type="dxa"/>
            <w:vAlign w:val="center"/>
          </w:tcPr>
          <w:p>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特殊群体公共文化服务信息</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rPr>
                <w:rFonts w:hint="eastAsia" w:ascii="仿宋_GB2312" w:hAnsi="仿宋_GB2312" w:eastAsia="仿宋_GB2312" w:cs="仿宋_GB2312"/>
                <w:kern w:val="0"/>
                <w:sz w:val="18"/>
                <w:szCs w:val="18"/>
                <w:lang w:eastAsia="zh-CN"/>
              </w:rPr>
            </w:pPr>
          </w:p>
        </w:tc>
        <w:tc>
          <w:tcPr>
            <w:tcW w:w="61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kern w:val="0"/>
                <w:sz w:val="18"/>
                <w:szCs w:val="18"/>
                <w:lang w:eastAsia="zh-CN"/>
              </w:rPr>
            </w:pPr>
          </w:p>
        </w:tc>
        <w:tc>
          <w:tcPr>
            <w:tcW w:w="723" w:type="dxa"/>
            <w:vAlign w:val="center"/>
          </w:tcPr>
          <w:p>
            <w:pPr>
              <w:rPr>
                <w:rFonts w:hint="eastAsia" w:ascii="仿宋_GB2312" w:hAnsi="仿宋_GB2312" w:eastAsia="仿宋_GB2312" w:cs="仿宋_GB2312"/>
                <w:kern w:val="0"/>
                <w:sz w:val="18"/>
                <w:szCs w:val="18"/>
                <w:lang w:eastAsia="zh-CN"/>
              </w:rPr>
            </w:pP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4" w:hRule="atLeast"/>
          <w:jc w:val="center"/>
        </w:trPr>
        <w:tc>
          <w:tcPr>
            <w:tcW w:w="540" w:type="dxa"/>
            <w:vAlign w:val="center"/>
          </w:tcPr>
          <w:p>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组织开展群众文化活动</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kern w:val="0"/>
                <w:sz w:val="18"/>
                <w:szCs w:val="18"/>
                <w:lang w:eastAsia="zh-CN"/>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kern w:val="0"/>
                <w:sz w:val="18"/>
                <w:szCs w:val="18"/>
                <w:lang w:eastAsia="zh-CN"/>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6" w:hRule="atLeast"/>
          <w:jc w:val="center"/>
        </w:trPr>
        <w:tc>
          <w:tcPr>
            <w:tcW w:w="540" w:type="dxa"/>
            <w:vAlign w:val="center"/>
          </w:tcPr>
          <w:p>
            <w:pPr>
              <w:widowControl/>
              <w:jc w:val="center"/>
              <w:rPr>
                <w:rFonts w:hint="eastAsia"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4</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下基层辅导、演出、展览和指导基层群众文化活 动</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rPr>
                <w:rFonts w:hint="eastAsia" w:ascii="仿宋_GB2312" w:hAnsi="仿宋_GB2312" w:eastAsia="仿宋_GB2312" w:cs="仿宋_GB2312"/>
                <w:sz w:val="18"/>
                <w:szCs w:val="18"/>
              </w:rPr>
            </w:pP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0" w:hRule="atLeast"/>
          <w:jc w:val="center"/>
        </w:trPr>
        <w:tc>
          <w:tcPr>
            <w:tcW w:w="540" w:type="dxa"/>
            <w:vAlign w:val="center"/>
          </w:tcPr>
          <w:p>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5</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举办各类展览、讲座信息</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rPr>
                <w:rFonts w:hint="eastAsia" w:ascii="仿宋_GB2312" w:hAnsi="仿宋_GB2312" w:eastAsia="仿宋_GB2312" w:cs="仿宋_GB2312"/>
                <w:sz w:val="18"/>
                <w:szCs w:val="18"/>
              </w:rPr>
            </w:pP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2" w:hRule="atLeast"/>
          <w:jc w:val="center"/>
        </w:trPr>
        <w:tc>
          <w:tcPr>
            <w:tcW w:w="540" w:type="dxa"/>
            <w:vAlign w:val="center"/>
          </w:tcPr>
          <w:p>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6</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辅导和培训基层文化骨干</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kern w:val="0"/>
                <w:sz w:val="18"/>
                <w:szCs w:val="18"/>
                <w:lang w:eastAsia="zh-CN"/>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kern w:val="0"/>
                <w:sz w:val="18"/>
                <w:szCs w:val="18"/>
                <w:lang w:eastAsia="zh-CN"/>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8" w:hRule="atLeast"/>
          <w:jc w:val="center"/>
        </w:trPr>
        <w:tc>
          <w:tcPr>
            <w:tcW w:w="540" w:type="dxa"/>
            <w:vAlign w:val="center"/>
          </w:tcPr>
          <w:p>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7</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非物质文化遗产展示传播活动</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kern w:val="0"/>
                <w:sz w:val="18"/>
                <w:szCs w:val="18"/>
                <w:lang w:eastAsia="zh-CN"/>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kern w:val="0"/>
                <w:sz w:val="18"/>
                <w:szCs w:val="18"/>
                <w:lang w:eastAsia="zh-CN"/>
              </w:rPr>
            </w:pPr>
          </w:p>
        </w:tc>
        <w:tc>
          <w:tcPr>
            <w:tcW w:w="723" w:type="dxa"/>
            <w:vAlign w:val="center"/>
          </w:tcPr>
          <w:p>
            <w:pPr>
              <w:rPr>
                <w:rFonts w:hint="eastAsia" w:ascii="仿宋_GB2312" w:hAnsi="仿宋_GB2312" w:eastAsia="仿宋_GB2312" w:cs="仿宋_GB2312"/>
                <w:kern w:val="0"/>
                <w:sz w:val="18"/>
                <w:szCs w:val="18"/>
                <w:lang w:eastAsia="zh-CN"/>
              </w:rPr>
            </w:pP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8</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文博单位名录</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文物保护管理机构和博物馆名录</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□两微一端 □发布会/听证会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□便民服务站 □入户/现场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rPr>
                <w:rFonts w:hint="eastAsia" w:ascii="仿宋_GB2312" w:hAnsi="仿宋_GB2312" w:eastAsia="仿宋_GB2312" w:cs="仿宋_GB2312"/>
                <w:sz w:val="18"/>
                <w:szCs w:val="18"/>
              </w:rPr>
            </w:pP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bl>
    <w:p/>
    <w:p/>
    <w:p/>
    <w:p/>
    <w:p/>
    <w:p/>
    <w:p/>
    <w:p/>
    <w:p/>
    <w:p/>
    <w:p/>
    <w:p/>
    <w:p/>
    <w:p/>
    <w:p/>
    <w:p/>
    <w:p/>
    <w:p>
      <w:pPr>
        <w:pStyle w:val="2"/>
        <w:numPr>
          <w:ilvl w:val="0"/>
          <w:numId w:val="0"/>
        </w:numPr>
        <w:jc w:val="center"/>
        <w:rPr>
          <w:rFonts w:hint="eastAsia" w:ascii="Times New Roman" w:hAnsi="Times New Roman" w:eastAsia="方正小标宋_GBK"/>
          <w:sz w:val="30"/>
        </w:rPr>
      </w:pPr>
      <w:r>
        <w:rPr>
          <w:rFonts w:hint="eastAsia" w:ascii="Times New Roman" w:hAnsi="Times New Roman" w:eastAsia="方正小标宋_GBK" w:cs="Times New Roman"/>
          <w:b/>
          <w:bCs/>
          <w:kern w:val="44"/>
          <w:sz w:val="30"/>
          <w:szCs w:val="44"/>
          <w:lang w:val="en-US" w:eastAsia="zh-CN" w:bidi="ar-SA"/>
        </w:rPr>
        <w:t>（十五）</w:t>
      </w:r>
      <w:r>
        <w:rPr>
          <w:rFonts w:hint="eastAsia" w:ascii="Times New Roman" w:hAnsi="Times New Roman" w:eastAsia="方正小标宋_GBK"/>
          <w:sz w:val="30"/>
        </w:rPr>
        <w:t>城市综合执法领域基层政务公开目录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1296"/>
        <w:gridCol w:w="1764"/>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2016"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1764"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8" w:hRule="atLeast"/>
          <w:tblHeader/>
          <w:jc w:val="center"/>
        </w:trPr>
        <w:tc>
          <w:tcPr>
            <w:tcW w:w="455" w:type="dxa"/>
            <w:vMerge w:val="continue"/>
            <w:vAlign w:val="center"/>
          </w:tcPr>
          <w:p>
            <w:pPr>
              <w:widowControl/>
              <w:jc w:val="center"/>
              <w:rPr>
                <w:rFonts w:hint="default" w:ascii="Times New Roman" w:hAnsi="Times New Roman" w:eastAsia="黑体" w:cs="Times New Roman"/>
                <w:kern w:val="0"/>
                <w:sz w:val="22"/>
              </w:rPr>
            </w:pPr>
          </w:p>
        </w:tc>
        <w:tc>
          <w:tcPr>
            <w:tcW w:w="720"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296"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1764" w:type="dxa"/>
            <w:vMerge w:val="continue"/>
            <w:vAlign w:val="center"/>
          </w:tcPr>
          <w:p>
            <w:pPr>
              <w:widowControl/>
              <w:jc w:val="center"/>
              <w:rPr>
                <w:rFonts w:hint="default" w:ascii="Times New Roman" w:hAnsi="Times New Roman" w:eastAsia="黑体" w:cs="Times New Roman"/>
                <w:kern w:val="0"/>
                <w:sz w:val="22"/>
              </w:rPr>
            </w:pPr>
          </w:p>
        </w:tc>
        <w:tc>
          <w:tcPr>
            <w:tcW w:w="2520" w:type="dxa"/>
            <w:vMerge w:val="continue"/>
            <w:vAlign w:val="center"/>
          </w:tcPr>
          <w:p>
            <w:pPr>
              <w:widowControl/>
              <w:jc w:val="center"/>
              <w:rPr>
                <w:rFonts w:hint="default" w:ascii="Times New Roman" w:hAnsi="Times New Roman" w:eastAsia="黑体" w:cs="Times New Roman"/>
                <w:kern w:val="0"/>
                <w:sz w:val="22"/>
              </w:rPr>
            </w:pPr>
          </w:p>
        </w:tc>
        <w:tc>
          <w:tcPr>
            <w:tcW w:w="1620" w:type="dxa"/>
            <w:vMerge w:val="continue"/>
            <w:vAlign w:val="center"/>
          </w:tcPr>
          <w:p>
            <w:pPr>
              <w:widowControl/>
              <w:jc w:val="center"/>
              <w:rPr>
                <w:rFonts w:hint="default" w:ascii="Times New Roman" w:hAnsi="Times New Roman" w:eastAsia="黑体" w:cs="Times New Roman"/>
                <w:kern w:val="0"/>
                <w:sz w:val="22"/>
              </w:rPr>
            </w:pPr>
          </w:p>
        </w:tc>
        <w:tc>
          <w:tcPr>
            <w:tcW w:w="1475" w:type="dxa"/>
            <w:vMerge w:val="continue"/>
            <w:vAlign w:val="center"/>
          </w:tcPr>
          <w:p>
            <w:pPr>
              <w:widowControl/>
              <w:jc w:val="center"/>
              <w:rPr>
                <w:rFonts w:hint="default" w:ascii="Times New Roman" w:hAnsi="Times New Roman" w:eastAsia="黑体" w:cs="Times New Roman"/>
                <w:kern w:val="0"/>
                <w:sz w:val="22"/>
              </w:rPr>
            </w:pPr>
          </w:p>
        </w:tc>
        <w:tc>
          <w:tcPr>
            <w:tcW w:w="1840" w:type="dxa"/>
            <w:vMerge w:val="continue"/>
            <w:vAlign w:val="center"/>
          </w:tcPr>
          <w:p>
            <w:pPr>
              <w:widowControl/>
              <w:jc w:val="center"/>
              <w:rPr>
                <w:rFonts w:hint="default" w:ascii="Times New Roman" w:hAnsi="Times New Roman" w:eastAsia="黑体" w:cs="Times New Roman"/>
                <w:kern w:val="0"/>
                <w:sz w:val="22"/>
              </w:rPr>
            </w:pPr>
          </w:p>
        </w:tc>
        <w:tc>
          <w:tcPr>
            <w:tcW w:w="573"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损坏城市树木花草    </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bidi="ar-SA"/>
              </w:rPr>
              <w:t>2</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擅自砍伐城市树木</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砍伐、擅自迁移古树名木或者因养护不善致使古树名木受到损伤或者死亡</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4"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损坏城市绿化设施</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未经同意擅自占用城市绿化用地</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不服从公共绿地管理单位管理的商业、服务摊点</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随地吐痰、便溺，乱扔果皮、纸屑和烟头等废弃物</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在城市建筑物、设施以及树木上涂写、刻画或者未经批准张挂、张贴宣传品等</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在城市人民政府规定的街道的临街建筑物的阳台和窗外，堆放、吊挂有碍市容的物品</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10</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不按规定的时间、地点、方式，倾倒垃圾、粪便</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11</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不履行卫生责任区清扫保洁义务或者不按规定清运、处理垃圾和粪便</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12</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运输液体、散装货物不作密封、包扎、覆盖，造成泄漏、遗撒</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13</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临街工地不设置护栏或者不作遮挡、停工场地不及时整理并作必要覆盖或者竣工后不及时清理和平整场地，影响市容和环境卫生</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14</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未经城市人民政府市容环境卫生行政主管部门批准，擅自在街道两侧和公共场地堆放物料，搭建建筑物、构筑物或者其他设施，影响市容</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4"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15</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未经批准擅自拆除环境卫生设施或者未按批准的拆迁方案进行拆迁</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16</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不符合城市容貌标准、环境卫生标准的建筑物或者设施</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17</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损坏各类环境卫生设施及其附属设施</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18</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单位和个人未按规定缴纳城市生活垃圾处理费</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bidi="ar-SA"/>
              </w:rPr>
              <w:t>19</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未按照城市生活垃圾治理规划和环境卫生设施标准配套建设城市生活垃圾收集设施</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20</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未经批准擅自关闭、闲置或者拆除城市生活垃圾处置设施、场所</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21</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随意倾倒、抛洒、堆放城市生活垃圾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22</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从事城市生活垃圾经营性清扫、收集、运输的企业在运输过程中沿途丢弃、遗撒生活垃圾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23</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从事生活垃圾经营性清扫、收集、运输的企业不按照环境卫生作业标准和作业规范，在规定的时间内及时清扫、收运城市生活垃圾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24</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从事生活垃圾经营性清扫、收集、运输的企业未将收集的城市生活垃圾运到直辖市、市、县人民政府建设（环境卫生）主管部门认可的处置场所</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7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25</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从事生活垃圾经营性清扫、收集、运输的企业清扫、收运城市生活垃圾后，未对生活垃圾收集设施及时保洁、复位，清理作业场地，保持生活垃圾收集设施和周边环境的干净整洁</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4"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26</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从事生活垃圾经营性清扫、收集、运输的企业用于收集、运输城市生活垃圾的车辆、船舶未做到密闭、完好和整洁</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27</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从事生活垃圾经营性清扫、收集、运输的企业未严格按照国家有关规定和技术标准，处置城市生活垃圾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6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28</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从事生活垃圾经营性清扫、收集、运输的企业未按照规定处理处置过程中产生的污水、废气、废渣、粉尘等，防止二次污染</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29</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从事生活垃圾经营性清扫、收集、运输的企业未按照所在地建设（环境卫生）主管部门规定的时间和要求接收生活垃圾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30</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从事生活垃圾经营性清扫、收集、运输的企业未按照要求配备城市生活垃圾处置设备、设施，保证设施、设备运行良好</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31</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从事生活垃圾经营性清扫、收集、运输的企业未保证城市生活垃圾处置站、场（厂）环境整洁</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32</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从事生活垃圾经营性清扫、收集、运输的企业未按照要求配备合格的管理人员及操作人员</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33</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从事生活垃圾经营性清扫、收集、运输的企业未对每日收运、进出场站、处置的生活垃圾进行计量，或未按照要求将统计数据和报表报送所在地建设（环境卫生）主管部门</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34</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定期进行水、气、土壤等环境影响监测，或未对生活垃圾处理设施的性能和环保指标进行检测、评价，或未向所在地建设（环境卫生）主管部门报告检测、评价结果</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4"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35</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从事城市生活垃圾经营性清扫、收集、运输的企业，未经批准擅自停业、歇业</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36</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从事城市生活垃圾经营性处置的企业，未经批准擅自停业、歇业</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37</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将建筑垃圾混入生活垃圾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4"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38</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将危险废物混入建筑垃圾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4"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39</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擅自设立弃置场受纳建筑垃圾    </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40</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建筑垃圾储运消纳场受纳工业垃圾、生活垃圾和有毒有害垃圾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41</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施工单位未及时清运工程施工过程中产生的建筑垃圾，造成环境污染</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42</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施工单位将建筑垃圾交给个人或者未经核准从事建筑垃圾运输的单位处置</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43</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处置建筑垃圾的单位在运输建筑垃圾过程中沿途丢弃、遗撒建筑垃圾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44</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涂改、倒卖、出租、出借或者以其他形式非法转让城市建筑垃圾处置核准文件</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45</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未经核准擅自处置建筑垃圾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46</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处置超出核准范围的建筑垃圾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47</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任何单位和个人随意倾倒、抛撒或者堆放建筑垃圾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48</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擅自占用城市公厕规划用地或者改变其性质</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4"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49</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建设单位经批准使用的土地含有城市公厕规划用地的，建设单位未按照城市公厕规划和城市人民政府环境卫生行政主管部门的要求修建公厕，并向社会开放使用</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4"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50</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未按分工负责城市公厕的建设和维修管理    </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51</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影剧院、商店、饭店、车站等公共建筑没有附设公厕或者原有公厕及其卫生设施不足的，未按照城市人民政府环境卫生行政主管部门的要求进行新建、扩建或者改造</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52</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公共建筑附设的公厕及其卫生设施的设计和安装，不符合国家和地方的有关标准</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53</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对于损坏严重或者年久失修的公厕，有关单位未按照分工负责建设和维修管理，或在拆除重建时未先建临时公厕</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54</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独立设置的城市公厕竣工时，建设单位未通知城市人民政府环境卫生主管部门或者其指定的部门参加验收；将验收不合格的独立设置的城市公厕交付使用</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55</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在公厕内乱丢垃圾、污物，随地吐痰，乱涂乱画</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56</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破坏公厕设施、设备</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57</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未经批准擅自占用或者改变公厕使用性质</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58</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在运输过程中沿途丢弃、遗撒生活垃圾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《中华人民共和国固体废物污染环境防治法》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59</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未取得设计、施工资格或者未按照资质等级承担城市道路的设计、施工任务</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60</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未按照城市道路设计、施工技术规范设计、施工</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61</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擅自使用未经验收或者验收不合格的城市道路</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62</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承担城市道路养护、维修的单位未定期对城市道路进行养护、维修或者未按照规定的期限修复竣工，并拒绝接受市政工程行政主管部门监督、检查</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6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63</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未对设在城市道路上的各种管线的检查井、箱盖或者城市道路附属设施的缺损及时补缺或者修复</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64</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未在城市道路施工现场设置明显标志和安全防围设施</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65</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占用城市道路期满或者挖掘城市道路后，不及时清理现场</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66</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依附于城市道路建设各种管线、杆线等设施，不按照规定办理批准手续</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67</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紧急抢修埋设在城市道路下的管线，不按照规定补办批准手续</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68</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未按照批准的位置、面积、期限占用或者挖掘城市道路，或者需要移动位置、扩大面积、延长时间，未提前办理变更审批手续</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bidi="ar-SA"/>
              </w:rPr>
              <w:t>69</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擅自占用或者挖掘城市道路</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70</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履带车、铁轮车或者超重、超高、超长车辆擅自在城市道路上行驶</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71</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机动车在桥梁或者非指定的城市道路上试刹车</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72</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擅自在城市道路上建设建筑物、构筑物</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73</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其他损害、侵占城市道路的行为</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74</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城镇排水与污水处理设施覆盖范围内的排水单位和个人，未按照国家有关规定将污水排入城镇排水设施，或者在雨水、污水分流地区将污水排入雨水管网</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4"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75</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排水户未取得污水排入排水管网许可证向城镇排水设施排放污水</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76</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排水户不按照污水排入排水管网许可证的要求排放污水</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77</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从事危及城镇排水与污水处理设施安全的活动</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78</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在城镇排水与污水处理设施覆盖范围内，未按照国家有关规定将污水排入城镇排水设施，或者在雨水、污水分流地区将污水排入雨水管网</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79</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排水户未取得排水许可，向城镇排水设施排放污水</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80</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排水户未按照排水许可证的要求，向城镇排水设施排放污水</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81</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排水户名称、法定代表人等其他事项变更，未按规定及时向城镇排水主管部门申请办理变更</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82</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排水户因发生事故或者其他突发事件，排放的污水可能危及城镇排水与污水处理设施安全运行，没有立即停止排放，未采取措施消除危害，或者并未按规定及时向城镇排水主管部门等有关部门报告</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83</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从事危及城镇排水设施安全的活动</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0"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84</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排水户违反规定，拒不接受水质、水量监测或者妨碍、阻挠城镇排水主管部门依法监督检查</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85</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在城市照明设施上刻划、涂污</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86</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在城市照明设施安全距离内，擅自植树、挖坑取土或者设置其他物体，或者倾倒含酸、碱、盐等腐蚀物或者具有腐蚀性的废渣、废液</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87</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擅自在城市照明设施上张贴、悬挂、设置宣传品、广告</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88</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擅自在城市照明设施上架设线缆、安置其它设施或者接用电源</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6"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89</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擅自迁移、拆除、利用城市照明设施</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92</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其他可能影响城市照明设施正常运行的行为</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w:t>
            </w:r>
            <w:bookmarkStart w:id="2" w:name="_GoBack"/>
            <w:bookmarkEnd w:id="2"/>
            <w:r>
              <w:rPr>
                <w:rFonts w:hint="eastAsia" w:ascii="Times New Roman" w:hAnsi="Times New Roman" w:eastAsia="仿宋_GB2312" w:cs="Times New Roman"/>
                <w:kern w:val="0"/>
                <w:sz w:val="18"/>
                <w:szCs w:val="18"/>
                <w:lang w:val="en-US" w:eastAsia="zh-CN"/>
              </w:rPr>
              <w:t>管理规定》</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8"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93</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违法建设</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未取得建设工程规划许可证或者未按照建设工程规划许可证的规定进行建设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《中华人民共和国城乡规划法》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2" w:hRule="atLeast"/>
          <w:jc w:val="center"/>
        </w:trPr>
        <w:tc>
          <w:tcPr>
            <w:tcW w:w="45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94</w:t>
            </w:r>
          </w:p>
        </w:tc>
        <w:tc>
          <w:tcPr>
            <w:tcW w:w="7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违法建设</w:t>
            </w:r>
          </w:p>
        </w:tc>
        <w:tc>
          <w:tcPr>
            <w:tcW w:w="129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建设单位或者个人未经批准进行临时建设</w:t>
            </w:r>
          </w:p>
        </w:tc>
        <w:tc>
          <w:tcPr>
            <w:tcW w:w="176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《中华人民共和国城乡规划法》</w:t>
            </w:r>
          </w:p>
        </w:tc>
        <w:tc>
          <w:tcPr>
            <w:tcW w:w="162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bl>
    <w:p>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宋体"/>
          <w:sz w:val="28"/>
          <w:szCs w:val="32"/>
          <w:lang w:eastAsia="zh-CN"/>
        </w:rPr>
      </w:pPr>
    </w:p>
    <w:p/>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xMjJiNDViMGI4M2UyOWNhMTA5MWJlODk0NTAzNWEifQ=="/>
  </w:docVars>
  <w:rsids>
    <w:rsidRoot w:val="00000000"/>
    <w:rsid w:val="00735803"/>
    <w:rsid w:val="039D40F5"/>
    <w:rsid w:val="064D3578"/>
    <w:rsid w:val="08AF4405"/>
    <w:rsid w:val="09911472"/>
    <w:rsid w:val="0FE30391"/>
    <w:rsid w:val="0FEC3EAD"/>
    <w:rsid w:val="12CA17BB"/>
    <w:rsid w:val="14CB438E"/>
    <w:rsid w:val="166368D8"/>
    <w:rsid w:val="179913DC"/>
    <w:rsid w:val="19A27CE5"/>
    <w:rsid w:val="1AEA3F52"/>
    <w:rsid w:val="1E370975"/>
    <w:rsid w:val="26F07225"/>
    <w:rsid w:val="27974F8A"/>
    <w:rsid w:val="2B0552B7"/>
    <w:rsid w:val="330E7D00"/>
    <w:rsid w:val="349E52D4"/>
    <w:rsid w:val="35337629"/>
    <w:rsid w:val="42053334"/>
    <w:rsid w:val="42845D39"/>
    <w:rsid w:val="48F90357"/>
    <w:rsid w:val="4A48799F"/>
    <w:rsid w:val="4A65694D"/>
    <w:rsid w:val="4AD45797"/>
    <w:rsid w:val="4FE9002E"/>
    <w:rsid w:val="555645C6"/>
    <w:rsid w:val="558D15B0"/>
    <w:rsid w:val="56A54E07"/>
    <w:rsid w:val="57574230"/>
    <w:rsid w:val="58B66577"/>
    <w:rsid w:val="5910238F"/>
    <w:rsid w:val="5D29098A"/>
    <w:rsid w:val="5DEC01C3"/>
    <w:rsid w:val="5DEC2D3D"/>
    <w:rsid w:val="605770FD"/>
    <w:rsid w:val="61DD70F7"/>
    <w:rsid w:val="63CA660A"/>
    <w:rsid w:val="63FF05A8"/>
    <w:rsid w:val="64C11D64"/>
    <w:rsid w:val="67932E4A"/>
    <w:rsid w:val="69A3453A"/>
    <w:rsid w:val="69EC4ECA"/>
    <w:rsid w:val="6A1E69D0"/>
    <w:rsid w:val="6C5C57AE"/>
    <w:rsid w:val="6C824B75"/>
    <w:rsid w:val="7101275E"/>
    <w:rsid w:val="71AA5211"/>
    <w:rsid w:val="71AE23CD"/>
    <w:rsid w:val="7389421E"/>
    <w:rsid w:val="743331DF"/>
    <w:rsid w:val="75B931B5"/>
    <w:rsid w:val="774B2308"/>
    <w:rsid w:val="7CAA3F07"/>
    <w:rsid w:val="7F890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lc</dc:creator>
  <cp:lastModifiedBy>何慧玲</cp:lastModifiedBy>
  <dcterms:modified xsi:type="dcterms:W3CDTF">2025-05-23T08:35:35Z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D56E6B5F7E5648BABBCB94C2C6FB7602_13</vt:lpwstr>
  </property>
</Properties>
</file>