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ind w:left="0" w:leftChars="0" w:firstLine="0" w:firstLineChars="0"/>
        <w:jc w:val="both"/>
        <w:rPr>
          <w:rFonts w:hint="default" w:ascii="Times New Roman" w:hAnsi="Times New Roman" w:eastAsia="黑体" w:cs="Times New Roman"/>
          <w:b w:val="0"/>
          <w:bCs/>
          <w:color w:val="auto"/>
          <w:sz w:val="32"/>
          <w:szCs w:val="32"/>
          <w:lang w:val="en-US" w:eastAsia="zh-CN"/>
        </w:rPr>
      </w:pPr>
      <w:r>
        <w:rPr>
          <w:rFonts w:hint="default" w:ascii="Times New Roman" w:hAnsi="Times New Roman" w:eastAsia="黑体" w:cs="Times New Roman"/>
          <w:b w:val="0"/>
          <w:bCs/>
          <w:color w:val="auto"/>
          <w:sz w:val="32"/>
          <w:szCs w:val="32"/>
          <w:lang w:val="en-US" w:eastAsia="zh-CN"/>
        </w:rPr>
        <w:t>附件1</w:t>
      </w:r>
    </w:p>
    <w:p>
      <w:pPr>
        <w:pStyle w:val="4"/>
        <w:keepNext w:val="0"/>
        <w:keepLines w:val="0"/>
        <w:widowControl/>
        <w:suppressLineNumbers w:val="0"/>
        <w:spacing w:before="0" w:beforeAutospacing="0" w:after="0" w:afterAutospacing="0"/>
        <w:ind w:left="0" w:leftChars="0" w:firstLine="0" w:firstLineChars="0"/>
        <w:jc w:val="both"/>
        <w:rPr>
          <w:rFonts w:hint="default" w:ascii="Times New Roman" w:hAnsi="Times New Roman" w:eastAsia="黑体" w:cs="Times New Roman"/>
          <w:b w:val="0"/>
          <w:bCs/>
          <w:color w:val="auto"/>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center"/>
        <w:textAlignment w:val="auto"/>
        <w:rPr>
          <w:rFonts w:hint="default" w:ascii="Times New Roman" w:hAnsi="Times New Roman" w:eastAsia="方正小标宋简体" w:cs="Times New Roman"/>
          <w:b w:val="0"/>
          <w:bCs/>
          <w:color w:val="auto"/>
          <w:sz w:val="44"/>
          <w:szCs w:val="44"/>
        </w:rPr>
      </w:pPr>
      <w:r>
        <w:rPr>
          <w:rFonts w:hint="default" w:ascii="Times New Roman" w:hAnsi="Times New Roman" w:eastAsia="方正小标宋简体" w:cs="Times New Roman"/>
          <w:b w:val="0"/>
          <w:bCs/>
          <w:color w:val="auto"/>
          <w:sz w:val="44"/>
          <w:szCs w:val="44"/>
        </w:rPr>
        <w:t>中华人民共和国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center"/>
        <w:textAlignment w:val="auto"/>
        <w:rPr>
          <w:rFonts w:hint="default" w:ascii="Times New Roman" w:hAnsi="Times New Roman" w:eastAsia="方正小标宋简体" w:cs="Times New Roman"/>
          <w:b w:val="0"/>
          <w:bCs/>
          <w:color w:val="auto"/>
          <w:sz w:val="44"/>
          <w:szCs w:val="44"/>
        </w:rPr>
      </w:pPr>
      <w:r>
        <w:rPr>
          <w:rFonts w:hint="default" w:ascii="Times New Roman" w:hAnsi="Times New Roman" w:eastAsia="方正小标宋简体" w:cs="Times New Roman"/>
          <w:b w:val="0"/>
          <w:bCs/>
          <w:color w:val="auto"/>
          <w:sz w:val="44"/>
          <w:szCs w:val="44"/>
        </w:rPr>
        <w:t>政府信息公开工作年度报告格式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default" w:ascii="Times New Roman" w:hAnsi="Times New Roman" w:eastAsia="方正小标宋简体" w:cs="Times New Roman"/>
          <w:b w:val="0"/>
          <w:bCs/>
          <w:color w:val="auto"/>
          <w:sz w:val="32"/>
          <w:szCs w:val="32"/>
        </w:rPr>
      </w:pP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黑体" w:cs="Times New Roman"/>
          <w:b w:val="0"/>
          <w:bCs/>
          <w:color w:val="auto"/>
          <w:sz w:val="32"/>
          <w:szCs w:val="32"/>
        </w:rPr>
      </w:pPr>
      <w:r>
        <w:rPr>
          <w:rFonts w:hint="default" w:ascii="Times New Roman" w:hAnsi="Times New Roman" w:eastAsia="黑体" w:cs="Times New Roman"/>
          <w:b w:val="0"/>
          <w:bCs/>
          <w:color w:val="auto"/>
          <w:sz w:val="32"/>
          <w:szCs w:val="32"/>
        </w:rPr>
        <w:t>一、报告内容</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年度报告内容，要严格按照《中华人民共和国政府信息公开条例》第五十条的规定确定，不能遗漏，也不宜泛化。</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（一）总体情况。</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一千字。</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（二）行政机关主动公开政府信息情况。</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（三）行政机关收到和处理政府信息公开申请情况。</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（四）因政府信息公开工作被申请行政复议、提起行政诉讼情况。</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行政复议机关作为共同被告的行政诉讼案件，只计算原行为主体的案件数量，不计算行政复议机关的案件数量。</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（五）政府信息公开工作存在的主要问题及改进情况。</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这一项主要报告本机关政府信息公开工作中存在的主要问题及改进情况。此项内容重在实事求是、明确具体，避免笼统模糊、泛泛而谈。查找问题要有针对性，改进举措要有实效性，不得出现敷衍了事甚至年年雷同现象。</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（六）其他需要报告的事项。</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这一项主要报告本机关认为需要报告的其他事项，以及其他有关文件专门要求通过年度报告予以报告的事项。</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各行政机关依据《政府信息公开信息处理费管理办法》收取信息处理费的情况，在此处专门报告。</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黑体" w:cs="Times New Roman"/>
          <w:b w:val="0"/>
          <w:bCs/>
          <w:color w:val="auto"/>
          <w:sz w:val="32"/>
          <w:szCs w:val="32"/>
        </w:rPr>
      </w:pPr>
      <w:r>
        <w:rPr>
          <w:rFonts w:hint="default" w:ascii="Times New Roman" w:hAnsi="Times New Roman" w:eastAsia="黑体" w:cs="Times New Roman"/>
          <w:b w:val="0"/>
          <w:bCs/>
          <w:color w:val="auto"/>
          <w:sz w:val="32"/>
          <w:szCs w:val="32"/>
        </w:rPr>
        <w:t>二、报告方式及时间</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（一）县级以上人民政府部门向本级政府信息公开工作主管部门报告并向社会公布的方式及时间。</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根据《中华人民共和国政府信息公开条例》第四十九条的规定，县级以上人民政府部门应当在每年1月31日前向本级政府信息公开工作主管部门提交本机关年度报告并向社会公布。</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楷体" w:cs="Times New Roman"/>
          <w:b/>
          <w:bCs/>
          <w:color w:val="auto"/>
          <w:sz w:val="32"/>
          <w:szCs w:val="32"/>
        </w:rPr>
      </w:pPr>
      <w:r>
        <w:rPr>
          <w:rFonts w:hint="default" w:ascii="Times New Roman" w:hAnsi="Times New Roman" w:eastAsia="楷体" w:cs="Times New Roman"/>
          <w:b/>
          <w:bCs/>
          <w:color w:val="auto"/>
          <w:sz w:val="32"/>
          <w:szCs w:val="32"/>
        </w:rPr>
        <w:t>（二）县级以上地方人民政府的政府信息公开工作主管部门向社会公布的方式及时间。</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根据《中华人民共和国政府信息公开条例》第四十九条的规定，县级以上地方人民政府的政府信息公开工作主管部门应当在每年3月31日前向社会公布本级政府年度报告。</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实行垂直领导的部门，参照对县级以上地方人民政府的报告要求，汇总形成全系统的年度报告，于3月31日前向全国政府信息公开工作主管部门提交并向社会公布。</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黑体" w:cs="Times New Roman"/>
          <w:b w:val="0"/>
          <w:bCs/>
          <w:color w:val="auto"/>
          <w:sz w:val="32"/>
          <w:szCs w:val="32"/>
        </w:rPr>
      </w:pPr>
      <w:r>
        <w:rPr>
          <w:rFonts w:hint="default" w:ascii="Times New Roman" w:hAnsi="Times New Roman" w:eastAsia="黑体" w:cs="Times New Roman"/>
          <w:b w:val="0"/>
          <w:bCs/>
          <w:color w:val="auto"/>
          <w:sz w:val="32"/>
          <w:szCs w:val="32"/>
        </w:rPr>
        <w:t>三、工作要求</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（一）提高认识。</w:t>
      </w:r>
      <w:r>
        <w:rPr>
          <w:rFonts w:hint="default" w:ascii="Times New Roman" w:hAnsi="Times New Roman" w:eastAsia="仿宋_GB2312" w:cs="Times New Roman"/>
          <w:color w:val="auto"/>
          <w:sz w:val="32"/>
          <w:szCs w:val="32"/>
        </w:rPr>
        <w: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（二）加强领导。</w:t>
      </w:r>
      <w:r>
        <w:rPr>
          <w:rFonts w:hint="default" w:ascii="Times New Roman" w:hAnsi="Times New Roman" w:eastAsia="仿宋_GB2312" w:cs="Times New Roman"/>
          <w:color w:val="auto"/>
          <w:sz w:val="32"/>
          <w:szCs w:val="32"/>
        </w:rPr>
        <w: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（三）夯实基础。</w:t>
      </w:r>
      <w:r>
        <w:rPr>
          <w:rFonts w:hint="default" w:ascii="Times New Roman" w:hAnsi="Times New Roman" w:eastAsia="仿宋_GB2312" w:cs="Times New Roman"/>
          <w:color w:val="auto"/>
          <w:sz w:val="32"/>
          <w:szCs w:val="32"/>
        </w:rPr>
        <w: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t>
      </w: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楷体" w:cs="Times New Roman"/>
          <w:b/>
          <w:bCs/>
          <w:color w:val="auto"/>
          <w:sz w:val="32"/>
          <w:szCs w:val="32"/>
        </w:rPr>
        <w:t>（四）明确责任。</w:t>
      </w:r>
      <w:r>
        <w:rPr>
          <w:rFonts w:hint="default" w:ascii="Times New Roman" w:hAnsi="Times New Roman" w:eastAsia="仿宋_GB2312" w:cs="Times New Roman"/>
          <w:color w:val="auto"/>
          <w:sz w:val="32"/>
          <w:szCs w:val="32"/>
        </w:rPr>
        <w: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default" w:ascii="Times New Roman" w:hAnsi="Times New Roman" w:eastAsia="宋体" w:cs="Times New Roman"/>
          <w:color w:val="auto"/>
        </w:rPr>
      </w:pPr>
    </w:p>
    <w:p>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leftChars="0" w:firstLine="640" w:firstLineChars="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 xml:space="preserve"> 附件：</w:t>
      </w:r>
      <w:r>
        <w:rPr>
          <w:rFonts w:hint="default" w:ascii="Times New Roman" w:hAnsi="Times New Roman" w:eastAsia="仿宋_GB2312" w:cs="Times New Roman"/>
          <w:color w:val="auto"/>
          <w:sz w:val="32"/>
          <w:szCs w:val="32"/>
        </w:rPr>
        <w:t>政府信息公开工作年度报告格式模板</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default" w:ascii="Times New Roman" w:hAnsi="Times New Roman" w:eastAsia="宋体" w:cs="Times New Roman"/>
          <w:color w:val="auto"/>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firstLine="420"/>
        <w:jc w:val="both"/>
        <w:textAlignment w:val="auto"/>
        <w:rPr>
          <w:rFonts w:hint="default" w:ascii="Times New Roman" w:hAnsi="Times New Roman" w:eastAsia="宋体" w:cs="Times New Roman"/>
          <w:color w:val="auto"/>
        </w:rPr>
      </w:pPr>
    </w:p>
    <w:p>
      <w:pPr>
        <w:pStyle w:val="4"/>
        <w:keepNext w:val="0"/>
        <w:keepLines w:val="0"/>
        <w:widowControl/>
        <w:suppressLineNumbers w:val="0"/>
        <w:spacing w:before="0" w:beforeAutospacing="0" w:after="0" w:afterAutospacing="0"/>
        <w:ind w:left="0" w:firstLine="420"/>
        <w:jc w:val="both"/>
        <w:rPr>
          <w:rFonts w:hint="default" w:ascii="Times New Roman" w:hAnsi="Times New Roman" w:eastAsia="宋体" w:cs="Times New Roman"/>
          <w:color w:val="auto"/>
        </w:rPr>
      </w:pPr>
    </w:p>
    <w:p>
      <w:pPr>
        <w:pStyle w:val="4"/>
        <w:keepNext w:val="0"/>
        <w:keepLines w:val="0"/>
        <w:widowControl/>
        <w:suppressLineNumbers w:val="0"/>
        <w:spacing w:before="0" w:beforeAutospacing="0" w:after="0" w:afterAutospacing="0"/>
        <w:ind w:left="0" w:firstLine="420"/>
        <w:jc w:val="both"/>
        <w:rPr>
          <w:rFonts w:hint="default" w:ascii="Times New Roman" w:hAnsi="Times New Roman" w:eastAsia="宋体" w:cs="Times New Roman"/>
          <w:color w:val="auto"/>
        </w:rPr>
      </w:pPr>
    </w:p>
    <w:p>
      <w:pPr>
        <w:pStyle w:val="4"/>
        <w:keepNext w:val="0"/>
        <w:keepLines w:val="0"/>
        <w:widowControl/>
        <w:suppressLineNumbers w:val="0"/>
        <w:spacing w:before="0" w:beforeAutospacing="0" w:after="0" w:afterAutospacing="0"/>
        <w:ind w:left="0" w:leftChars="0" w:firstLine="0" w:firstLineChars="0"/>
        <w:jc w:val="both"/>
        <w:rPr>
          <w:rFonts w:hint="default" w:ascii="Times New Roman" w:hAnsi="Times New Roman" w:eastAsia="楷体_GB2312" w:cs="Times New Roman"/>
          <w:b/>
          <w:bCs w:val="0"/>
          <w:color w:val="auto"/>
          <w:sz w:val="32"/>
          <w:szCs w:val="32"/>
        </w:rPr>
      </w:pPr>
      <w:r>
        <w:rPr>
          <w:rFonts w:hint="default" w:ascii="Times New Roman" w:hAnsi="Times New Roman" w:eastAsia="楷体_GB2312" w:cs="Times New Roman"/>
          <w:b/>
          <w:bCs w:val="0"/>
          <w:color w:val="auto"/>
          <w:sz w:val="32"/>
          <w:szCs w:val="32"/>
        </w:rPr>
        <w:t>附件</w:t>
      </w:r>
    </w:p>
    <w:p>
      <w:pPr>
        <w:pStyle w:val="4"/>
        <w:keepNext w:val="0"/>
        <w:keepLines w:val="0"/>
        <w:widowControl/>
        <w:suppressLineNumbers w:val="0"/>
        <w:spacing w:before="0" w:beforeAutospacing="0" w:after="0" w:afterAutospacing="0"/>
        <w:ind w:left="0" w:leftChars="0" w:firstLine="0" w:firstLineChars="0"/>
        <w:jc w:val="both"/>
        <w:rPr>
          <w:rFonts w:hint="default" w:ascii="Times New Roman" w:hAnsi="Times New Roman" w:eastAsia="楷体_GB2312" w:cs="Times New Roman"/>
          <w:b/>
          <w:bCs w:val="0"/>
          <w:color w:val="auto"/>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center"/>
        <w:textAlignment w:val="auto"/>
        <w:rPr>
          <w:rFonts w:hint="default" w:ascii="Times New Roman" w:hAnsi="Times New Roman" w:eastAsia="方正小标宋简体" w:cs="Times New Roman"/>
          <w:b w:val="0"/>
          <w:bCs/>
          <w:color w:val="auto"/>
          <w:sz w:val="44"/>
          <w:szCs w:val="44"/>
        </w:rPr>
      </w:pPr>
      <w:r>
        <w:rPr>
          <w:rFonts w:hint="default" w:ascii="Times New Roman" w:hAnsi="Times New Roman" w:eastAsia="方正小标宋简体" w:cs="Times New Roman"/>
          <w:b w:val="0"/>
          <w:bCs/>
          <w:color w:val="auto"/>
          <w:sz w:val="44"/>
          <w:szCs w:val="44"/>
        </w:rPr>
        <w:t>政府信息公开工作年度报告格式模板</w:t>
      </w:r>
    </w:p>
    <w:p>
      <w:pPr>
        <w:pStyle w:val="4"/>
        <w:keepNext w:val="0"/>
        <w:keepLines w:val="0"/>
        <w:widowControl/>
        <w:suppressLineNumbers w:val="0"/>
        <w:spacing w:before="0" w:beforeAutospacing="0" w:after="0" w:afterAutospacing="0"/>
        <w:ind w:left="0" w:leftChars="0" w:firstLine="0" w:firstLineChars="0"/>
        <w:jc w:val="center"/>
        <w:rPr>
          <w:rFonts w:hint="default" w:ascii="Times New Roman" w:hAnsi="Times New Roman" w:eastAsia="仿宋_GB2312" w:cs="Times New Roman"/>
          <w:b/>
          <w:bCs w:val="0"/>
          <w:color w:val="auto"/>
          <w:sz w:val="36"/>
          <w:szCs w:val="36"/>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一、总体情况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both"/>
        <w:textAlignment w:val="auto"/>
        <w:rPr>
          <w:rFonts w:hint="default" w:ascii="Times New Roman" w:hAnsi="Times New Roman" w:eastAsia="仿宋_GB2312" w:cs="Times New Roman"/>
          <w:b w:val="0"/>
          <w:bCs/>
          <w:color w:val="auto"/>
          <w:sz w:val="32"/>
          <w:szCs w:val="32"/>
        </w:rPr>
      </w:pPr>
      <w:r>
        <w:rPr>
          <w:rFonts w:hint="default" w:ascii="Times New Roman" w:hAnsi="Times New Roman" w:eastAsia="仿宋_GB2312" w:cs="Times New Roman"/>
          <w:b w:val="0"/>
          <w:bCs/>
          <w:color w:val="auto"/>
          <w:sz w:val="32"/>
          <w:szCs w:val="32"/>
        </w:rPr>
        <w:t>（文字描述）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both"/>
        <w:textAlignment w:val="auto"/>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二、主动公开政府信息情况</w:t>
      </w:r>
    </w:p>
    <w:tbl>
      <w:tblPr>
        <w:tblStyle w:val="6"/>
        <w:tblW w:w="974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7"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7"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信息内容</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本年制发件数</w:t>
            </w:r>
          </w:p>
        </w:tc>
        <w:tc>
          <w:tcPr>
            <w:tcW w:w="2435" w:type="dxa"/>
            <w:tcBorders>
              <w:top w:val="single" w:color="auto" w:sz="8" w:space="0"/>
              <w:left w:val="nil"/>
              <w:bottom w:val="single" w:color="auto" w:sz="8" w:space="0"/>
              <w:right w:val="single" w:color="auto" w:sz="4"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本年废止件数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9"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p>
        </w:tc>
        <w:tc>
          <w:tcPr>
            <w:tcW w:w="2435" w:type="dxa"/>
            <w:tcBorders>
              <w:top w:val="nil"/>
              <w:left w:val="nil"/>
              <w:bottom w:val="single" w:color="auto" w:sz="8" w:space="0"/>
              <w:right w:val="single" w:color="auto" w:sz="4"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5"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p>
        </w:tc>
        <w:tc>
          <w:tcPr>
            <w:tcW w:w="2435" w:type="dxa"/>
            <w:tcBorders>
              <w:top w:val="nil"/>
              <w:left w:val="nil"/>
              <w:bottom w:val="single" w:color="auto" w:sz="8" w:space="0"/>
              <w:right w:val="single" w:color="auto" w:sz="4"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right="0"/>
              <w:jc w:val="center"/>
              <w:rPr>
                <w:rFonts w:hint="default" w:ascii="Times New Roman" w:hAnsi="Times New Roman" w:cs="Times New Roman"/>
                <w:color w:val="auto"/>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4"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1" w:hRule="atLeast"/>
          <w:jc w:val="center"/>
        </w:trPr>
        <w:tc>
          <w:tcPr>
            <w:tcW w:w="2435" w:type="dxa"/>
            <w:tcBorders>
              <w:top w:val="nil"/>
              <w:left w:val="single" w:color="auto" w:sz="8" w:space="0"/>
              <w:bottom w:val="single" w:color="auto" w:sz="8" w:space="0"/>
              <w:right w:val="single" w:color="auto" w:sz="4"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信息内容</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9" w:hRule="atLeast"/>
          <w:jc w:val="center"/>
        </w:trPr>
        <w:tc>
          <w:tcPr>
            <w:tcW w:w="2435" w:type="dxa"/>
            <w:tcBorders>
              <w:top w:val="single" w:color="auto" w:sz="8" w:space="0"/>
              <w:left w:val="single" w:color="auto" w:sz="8" w:space="0"/>
              <w:bottom w:val="single" w:color="auto" w:sz="8" w:space="0"/>
              <w:right w:val="single" w:color="auto" w:sz="4"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行政许可</w:t>
            </w:r>
          </w:p>
        </w:tc>
        <w:tc>
          <w:tcPr>
            <w:tcW w:w="7305" w:type="dxa"/>
            <w:gridSpan w:val="3"/>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9"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4"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信息内容</w:t>
            </w:r>
          </w:p>
        </w:tc>
        <w:tc>
          <w:tcPr>
            <w:tcW w:w="7305" w:type="dxa"/>
            <w:gridSpan w:val="3"/>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rightChars="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8"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4"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6"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信息内容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6"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keepNext w:val="0"/>
              <w:keepLines w:val="0"/>
              <w:widowControl/>
              <w:suppressLineNumbers w:val="0"/>
              <w:spacing w:before="100" w:beforeAutospacing="1" w:after="0" w:afterLines="0" w:afterAutospacing="0"/>
              <w:ind w:left="0" w:leftChars="0" w:right="0" w:firstLine="0" w:firstLineChars="0"/>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kern w:val="0"/>
                <w:sz w:val="21"/>
                <w:szCs w:val="21"/>
                <w:lang w:val="en-US" w:eastAsia="zh-CN"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ind w:left="0" w:leftChars="0" w:firstLine="0" w:firstLineChars="0"/>
              <w:jc w:val="center"/>
              <w:rPr>
                <w:rFonts w:hint="default" w:ascii="Times New Roman" w:hAnsi="Times New Roman" w:cs="Times New Roman"/>
                <w:color w:val="auto"/>
                <w:sz w:val="21"/>
                <w:szCs w:val="21"/>
              </w:rPr>
            </w:pPr>
          </w:p>
        </w:tc>
      </w:tr>
    </w:tbl>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both"/>
        <w:textAlignment w:val="auto"/>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三、收到和处理政府信息公开申请情况</w:t>
      </w:r>
    </w:p>
    <w:tbl>
      <w:tblPr>
        <w:tblStyle w:val="6"/>
        <w:tblW w:w="974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754"/>
        <w:gridCol w:w="921"/>
        <w:gridCol w:w="3271"/>
        <w:gridCol w:w="685"/>
        <w:gridCol w:w="685"/>
        <w:gridCol w:w="685"/>
        <w:gridCol w:w="685"/>
        <w:gridCol w:w="685"/>
        <w:gridCol w:w="685"/>
        <w:gridCol w:w="68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28" w:hRule="atLeast"/>
          <w:jc w:val="center"/>
        </w:trPr>
        <w:tc>
          <w:tcPr>
            <w:tcW w:w="4946" w:type="dxa"/>
            <w:gridSpan w:val="3"/>
            <w:vMerge w:val="restart"/>
            <w:tcBorders>
              <w:top w:val="single" w:color="auto" w:sz="8" w:space="0"/>
              <w:left w:val="single" w:color="auto" w:sz="8" w:space="0"/>
              <w:bottom w:val="outset" w:color="auto" w:sz="6"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（本列数据的勾稽关系为：第一项加第二项之和，等于第三项加第四项之和）</w:t>
            </w:r>
          </w:p>
        </w:tc>
        <w:tc>
          <w:tcPr>
            <w:tcW w:w="4795" w:type="dxa"/>
            <w:gridSpan w:val="7"/>
            <w:tcBorders>
              <w:top w:val="single" w:color="auto" w:sz="8" w:space="0"/>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42" w:hRule="atLeast"/>
          <w:jc w:val="center"/>
        </w:trPr>
        <w:tc>
          <w:tcPr>
            <w:tcW w:w="4946" w:type="dxa"/>
            <w:gridSpan w:val="3"/>
            <w:vMerge w:val="continue"/>
            <w:tcBorders>
              <w:top w:val="single" w:color="auto" w:sz="8" w:space="0"/>
              <w:left w:val="single" w:color="auto" w:sz="8" w:space="0"/>
              <w:bottom w:val="outset" w:color="auto" w:sz="6"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p>
        </w:tc>
        <w:tc>
          <w:tcPr>
            <w:tcW w:w="685" w:type="dxa"/>
            <w:vMerge w:val="restart"/>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自</w:t>
            </w:r>
          </w:p>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然</w:t>
            </w:r>
          </w:p>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人</w:t>
            </w:r>
          </w:p>
        </w:tc>
        <w:tc>
          <w:tcPr>
            <w:tcW w:w="3425" w:type="dxa"/>
            <w:gridSpan w:val="5"/>
            <w:tcBorders>
              <w:top w:val="single" w:color="auto" w:sz="8" w:space="0"/>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法人或其他组织</w:t>
            </w:r>
          </w:p>
        </w:tc>
        <w:tc>
          <w:tcPr>
            <w:tcW w:w="685" w:type="dxa"/>
            <w:vMerge w:val="restart"/>
            <w:tcBorders>
              <w:top w:val="single" w:color="auto" w:sz="8" w:space="0"/>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总</w:t>
            </w:r>
          </w:p>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936" w:hRule="atLeast"/>
          <w:jc w:val="center"/>
        </w:trPr>
        <w:tc>
          <w:tcPr>
            <w:tcW w:w="4946" w:type="dxa"/>
            <w:gridSpan w:val="3"/>
            <w:vMerge w:val="continue"/>
            <w:tcBorders>
              <w:top w:val="single" w:color="auto" w:sz="8" w:space="0"/>
              <w:left w:val="single" w:color="auto" w:sz="8" w:space="0"/>
              <w:bottom w:val="outset" w:color="auto" w:sz="6"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p>
        </w:tc>
        <w:tc>
          <w:tcPr>
            <w:tcW w:w="685" w:type="dxa"/>
            <w:vMerge w:val="continue"/>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商业</w:t>
            </w:r>
          </w:p>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企业</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科研</w:t>
            </w:r>
          </w:p>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机构</w:t>
            </w:r>
          </w:p>
        </w:tc>
        <w:tc>
          <w:tcPr>
            <w:tcW w:w="685" w:type="dxa"/>
            <w:tcBorders>
              <w:top w:val="single" w:color="auto" w:sz="8" w:space="0"/>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社会公益组织</w:t>
            </w:r>
          </w:p>
        </w:tc>
        <w:tc>
          <w:tcPr>
            <w:tcW w:w="685" w:type="dxa"/>
            <w:tcBorders>
              <w:top w:val="single" w:color="auto" w:sz="8" w:space="0"/>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法律服务机构</w:t>
            </w:r>
          </w:p>
        </w:tc>
        <w:tc>
          <w:tcPr>
            <w:tcW w:w="685" w:type="dxa"/>
            <w:tcBorders>
              <w:top w:val="single" w:color="auto" w:sz="8" w:space="0"/>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其他</w:t>
            </w:r>
          </w:p>
        </w:tc>
        <w:tc>
          <w:tcPr>
            <w:tcW w:w="685" w:type="dxa"/>
            <w:vMerge w:val="continue"/>
            <w:tcBorders>
              <w:top w:val="single" w:color="auto" w:sz="8" w:space="0"/>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4946" w:type="dxa"/>
            <w:gridSpan w:val="3"/>
            <w:tcBorders>
              <w:top w:val="nil"/>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一、本年新收政府信息公开申请数量</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4946" w:type="dxa"/>
            <w:gridSpan w:val="3"/>
            <w:tcBorders>
              <w:top w:val="nil"/>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二、上年结转政府信息公开申请数量</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6" w:hRule="atLeast"/>
          <w:jc w:val="center"/>
        </w:trPr>
        <w:tc>
          <w:tcPr>
            <w:tcW w:w="754" w:type="dxa"/>
            <w:vMerge w:val="restart"/>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三、本年度办理结果</w:t>
            </w:r>
          </w:p>
        </w:tc>
        <w:tc>
          <w:tcPr>
            <w:tcW w:w="4192" w:type="dxa"/>
            <w:gridSpan w:val="2"/>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（一）予以公开</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4192" w:type="dxa"/>
            <w:gridSpan w:val="2"/>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（二）部分公开（区分处理的，只计这一情形，不计其他情形）</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52"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restart"/>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（三）不予公开</w:t>
            </w: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1.属于国家秘密</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02"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2.其他法律行政法规禁止公开</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5"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3.危及“三安全一稳定”</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4.保护第三方合法权益</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5.属于三类内部事务信息</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19"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6.属于四类过程性信息</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7.属于行政执法案卷</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8.属于行政查询事项</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6"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restart"/>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（四）无法提供</w:t>
            </w: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1.本机关不掌握相关政府信息</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6"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2.没有现成信息需要另行制作</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6"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3.补正后申请内容仍不明确</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52"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restart"/>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（五）不予处理</w:t>
            </w:r>
          </w:p>
        </w:tc>
        <w:tc>
          <w:tcPr>
            <w:tcW w:w="3271"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1.信访举报投诉类申请</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02"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2.重复申请</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3.要求提供公开出版物</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8"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4.无正当理由大量反复申请</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single" w:color="auto" w:sz="8" w:space="0"/>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5.要求行政机关确认或重新出具已获取信息</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outset" w:color="auto" w:sz="6"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7"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restart"/>
            <w:tcBorders>
              <w:top w:val="outset" w:color="auto" w:sz="6" w:space="0"/>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（六）其他处理</w:t>
            </w:r>
          </w:p>
        </w:tc>
        <w:tc>
          <w:tcPr>
            <w:tcW w:w="3271"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1.申请人无正当理由逾期不补正、行政机关不再处理其政府信息公开申请</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855"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outset" w:color="auto" w:sz="6" w:space="0"/>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2.申请人逾期未按收费通知要求缴纳费用、行政机关不再处理其政府信息公开申请</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35"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921" w:type="dxa"/>
            <w:vMerge w:val="continue"/>
            <w:tcBorders>
              <w:top w:val="outset" w:color="auto" w:sz="6" w:space="0"/>
              <w:left w:val="nil"/>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c>
          <w:tcPr>
            <w:tcW w:w="3271"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3.其他</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391" w:hRule="atLeast"/>
          <w:jc w:val="center"/>
        </w:trPr>
        <w:tc>
          <w:tcPr>
            <w:tcW w:w="754" w:type="dxa"/>
            <w:vMerge w:val="continue"/>
            <w:tcBorders>
              <w:top w:val="nil"/>
              <w:left w:val="single" w:color="auto" w:sz="8" w:space="0"/>
              <w:bottom w:val="outset" w:color="auto" w:sz="6"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p>
        </w:tc>
        <w:tc>
          <w:tcPr>
            <w:tcW w:w="4192" w:type="dxa"/>
            <w:gridSpan w:val="2"/>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（七）总计</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525" w:hRule="atLeast"/>
          <w:jc w:val="center"/>
        </w:trPr>
        <w:tc>
          <w:tcPr>
            <w:tcW w:w="4946" w:type="dxa"/>
            <w:gridSpan w:val="3"/>
            <w:tcBorders>
              <w:top w:val="nil"/>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left"/>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四、结转下年度继续办理</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r>
              <w:rPr>
                <w:rFonts w:hint="default" w:ascii="Times New Roman" w:hAnsi="Times New Roman" w:eastAsia="仿宋_GB2312" w:cs="Times New Roman"/>
                <w:color w:val="auto"/>
                <w:sz w:val="21"/>
                <w:lang w:val="en-US" w:eastAsia="zh-CN"/>
              </w:rPr>
              <w:t> </w:t>
            </w:r>
          </w:p>
        </w:tc>
        <w:tc>
          <w:tcPr>
            <w:tcW w:w="685" w:type="dxa"/>
            <w:tcBorders>
              <w:top w:val="nil"/>
              <w:left w:val="nil"/>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spacing w:line="240" w:lineRule="auto"/>
              <w:ind w:firstLine="0" w:firstLineChars="0"/>
              <w:jc w:val="center"/>
              <w:rPr>
                <w:rFonts w:hint="default" w:ascii="Times New Roman" w:hAnsi="Times New Roman" w:eastAsia="仿宋_GB2312" w:cs="Times New Roman"/>
                <w:color w:val="auto"/>
                <w:sz w:val="21"/>
                <w:lang w:val="en-US" w:eastAsia="zh-CN"/>
              </w:rPr>
            </w:pPr>
          </w:p>
        </w:tc>
      </w:tr>
    </w:tbl>
    <w:p>
      <w:pPr>
        <w:pStyle w:val="4"/>
        <w:keepNext w:val="0"/>
        <w:keepLines w:val="0"/>
        <w:widowControl/>
        <w:suppressLineNumbers w:val="0"/>
        <w:spacing w:before="0" w:beforeAutospacing="0" w:after="0" w:afterAutospacing="0"/>
        <w:ind w:left="0" w:leftChars="0" w:firstLine="0" w:firstLineChars="0"/>
        <w:jc w:val="both"/>
        <w:rPr>
          <w:rFonts w:hint="default" w:ascii="Times New Roman" w:hAnsi="Times New Roman" w:eastAsia="仿宋_GB2312" w:cs="Times New Roman"/>
          <w:b w:val="0"/>
          <w:bCs/>
          <w:color w:val="auto"/>
          <w:sz w:val="32"/>
          <w:szCs w:val="32"/>
        </w:rPr>
      </w:pPr>
      <w:r>
        <w:rPr>
          <w:rFonts w:hint="default" w:ascii="黑体" w:hAnsi="黑体" w:eastAsia="黑体" w:cs="黑体"/>
          <w:b w:val="0"/>
          <w:bCs/>
          <w:color w:val="auto"/>
          <w:sz w:val="32"/>
          <w:szCs w:val="32"/>
        </w:rPr>
        <w:t>四、政府信息公开行政复议、行政诉讼情况</w:t>
      </w:r>
    </w:p>
    <w:tbl>
      <w:tblPr>
        <w:tblStyle w:val="6"/>
        <w:tblW w:w="97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649"/>
        <w:gridCol w:w="649"/>
        <w:gridCol w:w="649"/>
        <w:gridCol w:w="649"/>
        <w:gridCol w:w="649"/>
        <w:gridCol w:w="649"/>
        <w:gridCol w:w="650"/>
        <w:gridCol w:w="650"/>
        <w:gridCol w:w="650"/>
        <w:gridCol w:w="650"/>
        <w:gridCol w:w="650"/>
        <w:gridCol w:w="650"/>
        <w:gridCol w:w="650"/>
        <w:gridCol w:w="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245"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行政复议</w:t>
            </w:r>
          </w:p>
        </w:tc>
        <w:tc>
          <w:tcPr>
            <w:tcW w:w="6498" w:type="dxa"/>
            <w:gridSpan w:val="10"/>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9"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结果维持</w:t>
            </w:r>
          </w:p>
        </w:tc>
        <w:tc>
          <w:tcPr>
            <w:tcW w:w="649"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结果</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纠正</w:t>
            </w:r>
          </w:p>
        </w:tc>
        <w:tc>
          <w:tcPr>
            <w:tcW w:w="64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其他</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结果</w:t>
            </w:r>
          </w:p>
        </w:tc>
        <w:tc>
          <w:tcPr>
            <w:tcW w:w="64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尚未</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审结</w:t>
            </w:r>
          </w:p>
        </w:tc>
        <w:tc>
          <w:tcPr>
            <w:tcW w:w="64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总计</w:t>
            </w:r>
          </w:p>
        </w:tc>
        <w:tc>
          <w:tcPr>
            <w:tcW w:w="324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未经复议直接起诉</w:t>
            </w:r>
          </w:p>
        </w:tc>
        <w:tc>
          <w:tcPr>
            <w:tcW w:w="325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p>
        </w:tc>
        <w:tc>
          <w:tcPr>
            <w:tcW w:w="64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结果</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维持</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结果</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纠正</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其他</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结果</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尚未</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审结</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总计</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结果</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维持</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结果</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纠正</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其他</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结果</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尚未</w:t>
            </w:r>
            <w:r>
              <w:rPr>
                <w:rFonts w:hint="default" w:ascii="Times New Roman" w:hAnsi="Times New Roman" w:eastAsia="仿宋_GB2312" w:cs="Times New Roman"/>
                <w:color w:val="auto"/>
                <w:kern w:val="0"/>
                <w:sz w:val="21"/>
                <w:szCs w:val="21"/>
                <w:lang w:val="en-US" w:eastAsia="zh-CN" w:bidi="ar"/>
              </w:rPr>
              <w:br w:type="textWrapping"/>
            </w:r>
            <w:r>
              <w:rPr>
                <w:rFonts w:hint="default" w:ascii="Times New Roman" w:hAnsi="Times New Roman" w:eastAsia="仿宋_GB2312" w:cs="Times New Roman"/>
                <w:color w:val="auto"/>
                <w:kern w:val="0"/>
                <w:sz w:val="21"/>
                <w:szCs w:val="21"/>
                <w:lang w:val="en-US" w:eastAsia="zh-CN" w:bidi="ar"/>
              </w:rPr>
              <w:t>审结</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4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r>
              <w:rPr>
                <w:rFonts w:hint="default" w:ascii="Times New Roman" w:hAnsi="Times New Roman" w:eastAsia="仿宋_GB2312" w:cs="Times New Roman"/>
                <w:color w:val="auto"/>
                <w:kern w:val="0"/>
                <w:sz w:val="21"/>
                <w:szCs w:val="21"/>
                <w:lang w:val="en-US" w:eastAsia="zh-CN" w:bidi="ar"/>
              </w:rPr>
              <w:t> </w:t>
            </w:r>
          </w:p>
        </w:tc>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0" w:right="0" w:firstLine="0" w:firstLineChars="0"/>
              <w:jc w:val="center"/>
              <w:textAlignment w:val="center"/>
              <w:rPr>
                <w:rFonts w:hint="default" w:ascii="Times New Roman" w:hAnsi="Times New Roman" w:eastAsia="仿宋_GB2312" w:cs="Times New Roman"/>
                <w:color w:val="auto"/>
                <w:kern w:val="0"/>
                <w:sz w:val="21"/>
                <w:szCs w:val="21"/>
                <w:lang w:val="en-US" w:eastAsia="zh-CN" w:bidi="ar"/>
              </w:rPr>
            </w:pPr>
          </w:p>
        </w:tc>
      </w:tr>
    </w:tbl>
    <w:p>
      <w:pPr>
        <w:keepNext w:val="0"/>
        <w:keepLines w:val="0"/>
        <w:widowControl/>
        <w:suppressLineNumbers w:val="0"/>
        <w:jc w:val="left"/>
        <w:rPr>
          <w:rFonts w:hint="default" w:ascii="Times New Roman" w:hAnsi="Times New Roman" w:cs="Times New Roman"/>
          <w:color w:val="auto"/>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both"/>
        <w:textAlignment w:val="auto"/>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五、存在的主要问题及改进情况</w:t>
      </w:r>
    </w:p>
    <w:p>
      <w:pPr>
        <w:pStyle w:val="4"/>
        <w:keepNext w:val="0"/>
        <w:keepLines w:val="0"/>
        <w:widowControl/>
        <w:suppressLineNumbers w:val="0"/>
        <w:spacing w:before="0" w:beforeAutospacing="0" w:after="0" w:afterAutospacing="0"/>
        <w:ind w:left="0" w:leftChars="0" w:firstLine="0" w:firstLineChars="0"/>
        <w:jc w:val="both"/>
        <w:rPr>
          <w:rFonts w:hint="default" w:ascii="Times New Roman" w:hAnsi="Times New Roman" w:eastAsia="仿宋_GB2312" w:cs="Times New Roman"/>
          <w:b w:val="0"/>
          <w:bCs/>
          <w:color w:val="auto"/>
          <w:sz w:val="32"/>
          <w:szCs w:val="32"/>
        </w:rPr>
      </w:pPr>
      <w:r>
        <w:rPr>
          <w:rFonts w:hint="default" w:ascii="Times New Roman" w:hAnsi="Times New Roman" w:eastAsia="仿宋_GB2312" w:cs="Times New Roman"/>
          <w:b w:val="0"/>
          <w:bCs/>
          <w:color w:val="auto"/>
          <w:sz w:val="32"/>
          <w:szCs w:val="32"/>
        </w:rPr>
        <w:t>（文字描述）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firstLine="0" w:firstLineChars="0"/>
        <w:jc w:val="both"/>
        <w:textAlignment w:val="auto"/>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六、其他需要报告的事项</w:t>
      </w:r>
    </w:p>
    <w:p>
      <w:pPr>
        <w:pStyle w:val="4"/>
        <w:keepNext w:val="0"/>
        <w:keepLines w:val="0"/>
        <w:widowControl/>
        <w:suppressLineNumbers w:val="0"/>
        <w:spacing w:before="0" w:beforeAutospacing="0" w:after="0" w:afterAutospacing="0"/>
        <w:ind w:left="0" w:leftChars="0" w:firstLine="0" w:firstLineChars="0"/>
        <w:jc w:val="left"/>
        <w:rPr>
          <w:rFonts w:hint="default" w:ascii="Times New Roman" w:hAnsi="Times New Roman" w:eastAsia="仿宋_GB2312" w:cs="Times New Roman"/>
          <w:b w:val="0"/>
          <w:bCs/>
          <w:color w:val="auto"/>
          <w:sz w:val="32"/>
          <w:szCs w:val="32"/>
        </w:rPr>
      </w:pPr>
      <w:r>
        <w:rPr>
          <w:rFonts w:hint="default" w:ascii="Times New Roman" w:hAnsi="Times New Roman" w:eastAsia="仿宋_GB2312" w:cs="Times New Roman"/>
          <w:b w:val="0"/>
          <w:bCs/>
          <w:color w:val="auto"/>
          <w:sz w:val="32"/>
          <w:szCs w:val="32"/>
        </w:rPr>
        <w:t>（文字描述，收取信息处理费情况在此处报告。）</w:t>
      </w:r>
    </w:p>
    <w:p>
      <w:pPr>
        <w:ind w:left="0" w:leftChars="0" w:firstLine="0" w:firstLineChars="0"/>
        <w:rPr>
          <w:rFonts w:hint="default" w:ascii="Times New Roman" w:hAnsi="Times New Roman" w:cs="Times New Roman"/>
          <w:color w:val="auto"/>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default" w:ascii="Times New Roman" w:hAnsi="Times New Roman" w:eastAsia="黑体" w:cs="Times New Roman"/>
          <w:color w:val="auto"/>
          <w:kern w:val="0"/>
          <w:sz w:val="32"/>
          <w:szCs w:val="32"/>
          <w:shd w:val="clear" w:color="auto" w:fill="FFFFFF"/>
          <w:lang w:val="en-US" w:eastAsia="zh-CN"/>
        </w:rPr>
      </w:pPr>
      <w:r>
        <w:rPr>
          <w:rFonts w:hint="default" w:ascii="Times New Roman" w:hAnsi="Times New Roman" w:eastAsia="黑体" w:cs="Times New Roman"/>
          <w:color w:val="auto"/>
          <w:kern w:val="0"/>
          <w:sz w:val="32"/>
          <w:szCs w:val="32"/>
          <w:shd w:val="clear" w:color="auto" w:fill="FFFFFF"/>
        </w:rPr>
        <w:t>附件</w:t>
      </w:r>
      <w:r>
        <w:rPr>
          <w:rFonts w:hint="default" w:ascii="Times New Roman" w:hAnsi="Times New Roman" w:eastAsia="黑体" w:cs="Times New Roman"/>
          <w:color w:val="auto"/>
          <w:kern w:val="0"/>
          <w:sz w:val="32"/>
          <w:szCs w:val="32"/>
          <w:shd w:val="clear" w:color="auto" w:fill="FFFFFF"/>
          <w:lang w:val="en-US" w:eastAsia="zh-CN"/>
        </w:rPr>
        <w:t>2</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default" w:ascii="Times New Roman" w:hAnsi="Times New Roman" w:eastAsia="黑体" w:cs="Times New Roman"/>
          <w:color w:val="auto"/>
          <w:kern w:val="0"/>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val="0"/>
          <w:bCs w:val="0"/>
          <w:color w:val="auto"/>
          <w:kern w:val="0"/>
          <w:sz w:val="44"/>
          <w:szCs w:val="44"/>
        </w:rPr>
      </w:pPr>
      <w:r>
        <w:rPr>
          <w:rFonts w:hint="default" w:ascii="Times New Roman" w:hAnsi="Times New Roman" w:eastAsia="方正小标宋简体" w:cs="Times New Roman"/>
          <w:b w:val="0"/>
          <w:bCs w:val="0"/>
          <w:color w:val="auto"/>
          <w:kern w:val="0"/>
          <w:sz w:val="44"/>
          <w:szCs w:val="44"/>
        </w:rPr>
        <w:t>政府信息公开工作机构登记表</w:t>
      </w:r>
    </w:p>
    <w:p>
      <w:pPr>
        <w:rPr>
          <w:rFonts w:hint="default" w:ascii="Times New Roman" w:hAnsi="Times New Roman" w:cs="Times New Roman"/>
          <w:b/>
          <w:color w:val="auto"/>
          <w:sz w:val="36"/>
          <w:szCs w:val="36"/>
        </w:rPr>
      </w:pPr>
      <w:r>
        <w:rPr>
          <w:rFonts w:hint="default" w:ascii="Times New Roman" w:hAnsi="Times New Roman" w:eastAsia="仿宋_GB2312" w:cs="Times New Roman"/>
          <w:color w:val="auto"/>
          <w:sz w:val="28"/>
          <w:szCs w:val="28"/>
        </w:rPr>
        <w:t xml:space="preserve">单位（盖章）：                      填表时间：     </w:t>
      </w:r>
      <w:r>
        <w:rPr>
          <w:rFonts w:hint="default" w:ascii="Times New Roman" w:hAnsi="Times New Roman" w:cs="Times New Roman"/>
          <w:color w:val="auto"/>
          <w:sz w:val="28"/>
          <w:szCs w:val="28"/>
        </w:rPr>
        <w:t xml:space="preserve"> </w:t>
      </w:r>
    </w:p>
    <w:tbl>
      <w:tblPr>
        <w:tblStyle w:val="6"/>
        <w:tblW w:w="91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134"/>
        <w:gridCol w:w="1390"/>
        <w:gridCol w:w="1234"/>
        <w:gridCol w:w="1239"/>
        <w:gridCol w:w="2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1381" w:type="dxa"/>
            <w:vMerge w:val="restart"/>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分管</w:t>
            </w:r>
          </w:p>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领导</w:t>
            </w:r>
          </w:p>
        </w:tc>
        <w:tc>
          <w:tcPr>
            <w:tcW w:w="1134" w:type="dxa"/>
            <w:vMerge w:val="restart"/>
            <w:vAlign w:val="center"/>
          </w:tcPr>
          <w:p>
            <w:pPr>
              <w:jc w:val="center"/>
              <w:rPr>
                <w:rFonts w:hint="default" w:ascii="Times New Roman" w:hAnsi="Times New Roman" w:eastAsia="仿宋" w:cs="Times New Roman"/>
                <w:color w:val="auto"/>
                <w:sz w:val="24"/>
              </w:rPr>
            </w:pPr>
          </w:p>
        </w:tc>
        <w:tc>
          <w:tcPr>
            <w:tcW w:w="1390" w:type="dxa"/>
            <w:vMerge w:val="restart"/>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职务</w:t>
            </w:r>
          </w:p>
        </w:tc>
        <w:tc>
          <w:tcPr>
            <w:tcW w:w="1234" w:type="dxa"/>
            <w:vMerge w:val="restart"/>
            <w:vAlign w:val="center"/>
          </w:tcPr>
          <w:p>
            <w:pPr>
              <w:spacing w:line="360" w:lineRule="auto"/>
              <w:jc w:val="center"/>
              <w:rPr>
                <w:rFonts w:hint="default" w:ascii="Times New Roman" w:hAnsi="Times New Roman" w:eastAsia="仿宋" w:cs="Times New Roman"/>
                <w:color w:val="auto"/>
                <w:sz w:val="24"/>
              </w:rPr>
            </w:pPr>
          </w:p>
        </w:tc>
        <w:tc>
          <w:tcPr>
            <w:tcW w:w="1239" w:type="dxa"/>
            <w:vMerge w:val="restart"/>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联系</w:t>
            </w:r>
            <w:r>
              <w:rPr>
                <w:rFonts w:hint="default" w:ascii="Times New Roman" w:hAnsi="Times New Roman" w:eastAsia="仿宋" w:cs="Times New Roman"/>
                <w:b/>
                <w:color w:val="auto"/>
                <w:sz w:val="24"/>
                <w:lang w:val="en-US" w:eastAsia="zh-CN"/>
              </w:rPr>
              <w:t xml:space="preserve">   </w:t>
            </w:r>
            <w:r>
              <w:rPr>
                <w:rFonts w:hint="default" w:ascii="Times New Roman" w:hAnsi="Times New Roman" w:eastAsia="仿宋" w:cs="Times New Roman"/>
                <w:b/>
                <w:color w:val="auto"/>
                <w:sz w:val="24"/>
              </w:rPr>
              <w:t>方式</w:t>
            </w:r>
          </w:p>
        </w:tc>
        <w:tc>
          <w:tcPr>
            <w:tcW w:w="2739" w:type="dxa"/>
            <w:vAlign w:val="center"/>
          </w:tcPr>
          <w:p>
            <w:pPr>
              <w:widowControl/>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jc w:val="center"/>
        </w:trPr>
        <w:tc>
          <w:tcPr>
            <w:tcW w:w="1381" w:type="dxa"/>
            <w:vMerge w:val="continue"/>
            <w:vAlign w:val="center"/>
          </w:tcPr>
          <w:p>
            <w:pPr>
              <w:jc w:val="center"/>
              <w:rPr>
                <w:rFonts w:hint="default" w:ascii="Times New Roman" w:hAnsi="Times New Roman" w:eastAsia="仿宋" w:cs="Times New Roman"/>
                <w:b/>
                <w:color w:val="auto"/>
                <w:sz w:val="24"/>
              </w:rPr>
            </w:pPr>
          </w:p>
        </w:tc>
        <w:tc>
          <w:tcPr>
            <w:tcW w:w="1134" w:type="dxa"/>
            <w:vMerge w:val="continue"/>
            <w:vAlign w:val="center"/>
          </w:tcPr>
          <w:p>
            <w:pPr>
              <w:jc w:val="center"/>
              <w:rPr>
                <w:rFonts w:hint="default" w:ascii="Times New Roman" w:hAnsi="Times New Roman" w:eastAsia="仿宋" w:cs="Times New Roman"/>
                <w:color w:val="auto"/>
                <w:sz w:val="24"/>
              </w:rPr>
            </w:pPr>
          </w:p>
        </w:tc>
        <w:tc>
          <w:tcPr>
            <w:tcW w:w="1390" w:type="dxa"/>
            <w:vMerge w:val="continue"/>
            <w:vAlign w:val="center"/>
          </w:tcPr>
          <w:p>
            <w:pPr>
              <w:jc w:val="center"/>
              <w:rPr>
                <w:rFonts w:hint="default" w:ascii="Times New Roman" w:hAnsi="Times New Roman" w:eastAsia="仿宋" w:cs="Times New Roman"/>
                <w:b/>
                <w:color w:val="auto"/>
                <w:sz w:val="24"/>
              </w:rPr>
            </w:pPr>
          </w:p>
        </w:tc>
        <w:tc>
          <w:tcPr>
            <w:tcW w:w="1234" w:type="dxa"/>
            <w:vMerge w:val="continue"/>
            <w:vAlign w:val="center"/>
          </w:tcPr>
          <w:p>
            <w:pPr>
              <w:spacing w:line="360" w:lineRule="auto"/>
              <w:jc w:val="center"/>
              <w:rPr>
                <w:rFonts w:hint="default" w:ascii="Times New Roman" w:hAnsi="Times New Roman" w:eastAsia="仿宋" w:cs="Times New Roman"/>
                <w:color w:val="auto"/>
                <w:sz w:val="24"/>
              </w:rPr>
            </w:pPr>
          </w:p>
        </w:tc>
        <w:tc>
          <w:tcPr>
            <w:tcW w:w="1239" w:type="dxa"/>
            <w:vMerge w:val="continue"/>
            <w:vAlign w:val="center"/>
          </w:tcPr>
          <w:p>
            <w:pPr>
              <w:jc w:val="center"/>
              <w:rPr>
                <w:rFonts w:hint="default" w:ascii="Times New Roman" w:hAnsi="Times New Roman" w:eastAsia="仿宋" w:cs="Times New Roman"/>
                <w:b/>
                <w:color w:val="auto"/>
                <w:sz w:val="24"/>
              </w:rPr>
            </w:pPr>
          </w:p>
        </w:tc>
        <w:tc>
          <w:tcPr>
            <w:tcW w:w="2739" w:type="dxa"/>
            <w:vAlign w:val="center"/>
          </w:tcPr>
          <w:p>
            <w:pPr>
              <w:widowControl/>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jc w:val="center"/>
        </w:trPr>
        <w:tc>
          <w:tcPr>
            <w:tcW w:w="1381" w:type="dxa"/>
            <w:vMerge w:val="restart"/>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牵头责任</w:t>
            </w:r>
            <w:r>
              <w:rPr>
                <w:rFonts w:hint="default" w:ascii="Times New Roman" w:hAnsi="Times New Roman" w:eastAsia="仿宋" w:cs="Times New Roman"/>
                <w:b/>
                <w:color w:val="auto"/>
                <w:sz w:val="24"/>
                <w:lang w:val="en-US" w:eastAsia="zh-CN"/>
              </w:rPr>
              <w:t xml:space="preserve"> </w:t>
            </w:r>
            <w:r>
              <w:rPr>
                <w:rFonts w:hint="default" w:ascii="Times New Roman" w:hAnsi="Times New Roman" w:eastAsia="仿宋" w:cs="Times New Roman"/>
                <w:b/>
                <w:color w:val="auto"/>
                <w:sz w:val="24"/>
              </w:rPr>
              <w:t>处室</w:t>
            </w:r>
          </w:p>
        </w:tc>
        <w:tc>
          <w:tcPr>
            <w:tcW w:w="1134" w:type="dxa"/>
            <w:vMerge w:val="restart"/>
            <w:vAlign w:val="center"/>
          </w:tcPr>
          <w:p>
            <w:pPr>
              <w:spacing w:line="360" w:lineRule="auto"/>
              <w:jc w:val="center"/>
              <w:rPr>
                <w:rFonts w:hint="default" w:ascii="Times New Roman" w:hAnsi="Times New Roman" w:eastAsia="仿宋" w:cs="Times New Roman"/>
                <w:color w:val="auto"/>
                <w:sz w:val="24"/>
              </w:rPr>
            </w:pPr>
          </w:p>
        </w:tc>
        <w:tc>
          <w:tcPr>
            <w:tcW w:w="1390" w:type="dxa"/>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处室</w:t>
            </w:r>
          </w:p>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负责人</w:t>
            </w:r>
          </w:p>
        </w:tc>
        <w:tc>
          <w:tcPr>
            <w:tcW w:w="1234" w:type="dxa"/>
            <w:vAlign w:val="center"/>
          </w:tcPr>
          <w:p>
            <w:pPr>
              <w:spacing w:line="360" w:lineRule="auto"/>
              <w:jc w:val="center"/>
              <w:rPr>
                <w:rFonts w:hint="default" w:ascii="Times New Roman" w:hAnsi="Times New Roman" w:eastAsia="仿宋" w:cs="Times New Roman"/>
                <w:color w:val="auto"/>
                <w:sz w:val="24"/>
              </w:rPr>
            </w:pPr>
          </w:p>
        </w:tc>
        <w:tc>
          <w:tcPr>
            <w:tcW w:w="1239" w:type="dxa"/>
            <w:vMerge w:val="restart"/>
            <w:vAlign w:val="center"/>
          </w:tcPr>
          <w:p>
            <w:pPr>
              <w:widowControl/>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联系</w:t>
            </w:r>
            <w:r>
              <w:rPr>
                <w:rFonts w:hint="default" w:ascii="Times New Roman" w:hAnsi="Times New Roman" w:eastAsia="仿宋" w:cs="Times New Roman"/>
                <w:b/>
                <w:color w:val="auto"/>
                <w:sz w:val="24"/>
                <w:lang w:val="en-US" w:eastAsia="zh-CN"/>
              </w:rPr>
              <w:t xml:space="preserve">   </w:t>
            </w:r>
            <w:r>
              <w:rPr>
                <w:rFonts w:hint="default" w:ascii="Times New Roman" w:hAnsi="Times New Roman" w:eastAsia="仿宋" w:cs="Times New Roman"/>
                <w:b/>
                <w:color w:val="auto"/>
                <w:sz w:val="24"/>
              </w:rPr>
              <w:t>方式</w:t>
            </w:r>
          </w:p>
        </w:tc>
        <w:tc>
          <w:tcPr>
            <w:tcW w:w="2739" w:type="dxa"/>
            <w:vAlign w:val="center"/>
          </w:tcPr>
          <w:p>
            <w:pPr>
              <w:widowControl/>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jc w:val="center"/>
        </w:trPr>
        <w:tc>
          <w:tcPr>
            <w:tcW w:w="1381" w:type="dxa"/>
            <w:vMerge w:val="continue"/>
            <w:vAlign w:val="center"/>
          </w:tcPr>
          <w:p>
            <w:pPr>
              <w:jc w:val="center"/>
              <w:rPr>
                <w:rFonts w:hint="default" w:ascii="Times New Roman" w:hAnsi="Times New Roman" w:eastAsia="仿宋" w:cs="Times New Roman"/>
                <w:b/>
                <w:color w:val="auto"/>
                <w:sz w:val="24"/>
              </w:rPr>
            </w:pPr>
          </w:p>
        </w:tc>
        <w:tc>
          <w:tcPr>
            <w:tcW w:w="1134" w:type="dxa"/>
            <w:vMerge w:val="continue"/>
            <w:vAlign w:val="center"/>
          </w:tcPr>
          <w:p>
            <w:pPr>
              <w:spacing w:line="360" w:lineRule="auto"/>
              <w:jc w:val="center"/>
              <w:rPr>
                <w:rFonts w:hint="default" w:ascii="Times New Roman" w:hAnsi="Times New Roman" w:eastAsia="仿宋" w:cs="Times New Roman"/>
                <w:color w:val="auto"/>
                <w:sz w:val="24"/>
              </w:rPr>
            </w:pPr>
          </w:p>
        </w:tc>
        <w:tc>
          <w:tcPr>
            <w:tcW w:w="1390" w:type="dxa"/>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职务</w:t>
            </w:r>
          </w:p>
        </w:tc>
        <w:tc>
          <w:tcPr>
            <w:tcW w:w="1234" w:type="dxa"/>
            <w:vAlign w:val="center"/>
          </w:tcPr>
          <w:p>
            <w:pPr>
              <w:spacing w:line="360" w:lineRule="auto"/>
              <w:jc w:val="center"/>
              <w:rPr>
                <w:rFonts w:hint="default" w:ascii="Times New Roman" w:hAnsi="Times New Roman" w:eastAsia="仿宋" w:cs="Times New Roman"/>
                <w:color w:val="auto"/>
                <w:sz w:val="24"/>
              </w:rPr>
            </w:pPr>
          </w:p>
        </w:tc>
        <w:tc>
          <w:tcPr>
            <w:tcW w:w="1239" w:type="dxa"/>
            <w:vMerge w:val="continue"/>
            <w:vAlign w:val="center"/>
          </w:tcPr>
          <w:p>
            <w:pPr>
              <w:widowControl/>
              <w:jc w:val="center"/>
              <w:rPr>
                <w:rFonts w:hint="default" w:ascii="Times New Roman" w:hAnsi="Times New Roman" w:eastAsia="仿宋" w:cs="Times New Roman"/>
                <w:b/>
                <w:color w:val="auto"/>
                <w:sz w:val="24"/>
              </w:rPr>
            </w:pPr>
          </w:p>
        </w:tc>
        <w:tc>
          <w:tcPr>
            <w:tcW w:w="2739" w:type="dxa"/>
            <w:vAlign w:val="center"/>
          </w:tcPr>
          <w:p>
            <w:pPr>
              <w:widowControl/>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381" w:type="dxa"/>
            <w:vMerge w:val="restart"/>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信息</w:t>
            </w:r>
          </w:p>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专员</w:t>
            </w:r>
          </w:p>
        </w:tc>
        <w:tc>
          <w:tcPr>
            <w:tcW w:w="1134" w:type="dxa"/>
            <w:vMerge w:val="restart"/>
            <w:vAlign w:val="center"/>
          </w:tcPr>
          <w:p>
            <w:pPr>
              <w:rPr>
                <w:rFonts w:hint="default" w:ascii="Times New Roman" w:hAnsi="Times New Roman" w:eastAsia="仿宋" w:cs="Times New Roman"/>
                <w:b/>
                <w:color w:val="auto"/>
                <w:sz w:val="24"/>
              </w:rPr>
            </w:pPr>
          </w:p>
        </w:tc>
        <w:tc>
          <w:tcPr>
            <w:tcW w:w="1390" w:type="dxa"/>
            <w:vMerge w:val="restart"/>
            <w:vAlign w:val="center"/>
          </w:tcPr>
          <w:p>
            <w:pPr>
              <w:ind w:firstLine="241" w:firstLineChars="100"/>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职务</w:t>
            </w:r>
          </w:p>
        </w:tc>
        <w:tc>
          <w:tcPr>
            <w:tcW w:w="1234" w:type="dxa"/>
            <w:vMerge w:val="restart"/>
            <w:vAlign w:val="center"/>
          </w:tcPr>
          <w:p>
            <w:pPr>
              <w:jc w:val="center"/>
              <w:rPr>
                <w:rFonts w:hint="default" w:ascii="Times New Roman" w:hAnsi="Times New Roman" w:eastAsia="仿宋" w:cs="Times New Roman"/>
                <w:b/>
                <w:color w:val="auto"/>
                <w:sz w:val="24"/>
              </w:rPr>
            </w:pPr>
          </w:p>
        </w:tc>
        <w:tc>
          <w:tcPr>
            <w:tcW w:w="1239" w:type="dxa"/>
            <w:vMerge w:val="restart"/>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联系</w:t>
            </w:r>
            <w:r>
              <w:rPr>
                <w:rFonts w:hint="default" w:ascii="Times New Roman" w:hAnsi="Times New Roman" w:eastAsia="仿宋" w:cs="Times New Roman"/>
                <w:b/>
                <w:color w:val="auto"/>
                <w:sz w:val="24"/>
                <w:lang w:val="en-US" w:eastAsia="zh-CN"/>
              </w:rPr>
              <w:t xml:space="preserve">   </w:t>
            </w:r>
            <w:r>
              <w:rPr>
                <w:rFonts w:hint="default" w:ascii="Times New Roman" w:hAnsi="Times New Roman" w:eastAsia="仿宋" w:cs="Times New Roman"/>
                <w:b/>
                <w:color w:val="auto"/>
                <w:sz w:val="24"/>
              </w:rPr>
              <w:t>方式</w:t>
            </w:r>
          </w:p>
        </w:tc>
        <w:tc>
          <w:tcPr>
            <w:tcW w:w="2739" w:type="dxa"/>
            <w:vAlign w:val="center"/>
          </w:tcPr>
          <w:p>
            <w:pPr>
              <w:rPr>
                <w:rFonts w:hint="default" w:ascii="Times New Roman" w:hAnsi="Times New Roman" w:eastAsia="仿宋" w:cs="Times New Roman"/>
                <w:b w:val="0"/>
                <w:bCs/>
                <w:color w:val="auto"/>
                <w:sz w:val="24"/>
              </w:rPr>
            </w:pPr>
            <w:r>
              <w:rPr>
                <w:rFonts w:hint="default" w:ascii="Times New Roman" w:hAnsi="Times New Roman" w:eastAsia="仿宋" w:cs="Times New Roman"/>
                <w:b w:val="0"/>
                <w:bCs/>
                <w:color w:val="auto"/>
                <w:sz w:val="24"/>
              </w:rPr>
              <w:t>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jc w:val="center"/>
        </w:trPr>
        <w:tc>
          <w:tcPr>
            <w:tcW w:w="1381" w:type="dxa"/>
            <w:vMerge w:val="continue"/>
            <w:vAlign w:val="center"/>
          </w:tcPr>
          <w:p>
            <w:pPr>
              <w:jc w:val="center"/>
              <w:rPr>
                <w:rFonts w:hint="default" w:ascii="Times New Roman" w:hAnsi="Times New Roman" w:eastAsia="仿宋" w:cs="Times New Roman"/>
                <w:b/>
                <w:color w:val="auto"/>
                <w:sz w:val="24"/>
              </w:rPr>
            </w:pPr>
          </w:p>
        </w:tc>
        <w:tc>
          <w:tcPr>
            <w:tcW w:w="1134" w:type="dxa"/>
            <w:vMerge w:val="continue"/>
            <w:vAlign w:val="center"/>
          </w:tcPr>
          <w:p>
            <w:pPr>
              <w:rPr>
                <w:rFonts w:hint="default" w:ascii="Times New Roman" w:hAnsi="Times New Roman" w:eastAsia="仿宋" w:cs="Times New Roman"/>
                <w:b/>
                <w:color w:val="auto"/>
                <w:sz w:val="24"/>
              </w:rPr>
            </w:pPr>
          </w:p>
        </w:tc>
        <w:tc>
          <w:tcPr>
            <w:tcW w:w="1390" w:type="dxa"/>
            <w:vMerge w:val="continue"/>
            <w:vAlign w:val="center"/>
          </w:tcPr>
          <w:p>
            <w:pPr>
              <w:ind w:firstLine="241" w:firstLineChars="100"/>
              <w:rPr>
                <w:rFonts w:hint="default" w:ascii="Times New Roman" w:hAnsi="Times New Roman" w:eastAsia="仿宋" w:cs="Times New Roman"/>
                <w:b/>
                <w:color w:val="auto"/>
                <w:sz w:val="24"/>
              </w:rPr>
            </w:pPr>
          </w:p>
        </w:tc>
        <w:tc>
          <w:tcPr>
            <w:tcW w:w="1234" w:type="dxa"/>
            <w:vMerge w:val="continue"/>
            <w:vAlign w:val="center"/>
          </w:tcPr>
          <w:p>
            <w:pPr>
              <w:jc w:val="center"/>
              <w:rPr>
                <w:rFonts w:hint="default" w:ascii="Times New Roman" w:hAnsi="Times New Roman" w:eastAsia="仿宋" w:cs="Times New Roman"/>
                <w:b/>
                <w:color w:val="auto"/>
                <w:sz w:val="24"/>
              </w:rPr>
            </w:pPr>
          </w:p>
        </w:tc>
        <w:tc>
          <w:tcPr>
            <w:tcW w:w="1239" w:type="dxa"/>
            <w:vMerge w:val="continue"/>
            <w:vAlign w:val="center"/>
          </w:tcPr>
          <w:p>
            <w:pPr>
              <w:jc w:val="center"/>
              <w:rPr>
                <w:rFonts w:hint="default" w:ascii="Times New Roman" w:hAnsi="Times New Roman" w:eastAsia="仿宋" w:cs="Times New Roman"/>
                <w:b/>
                <w:color w:val="auto"/>
                <w:sz w:val="24"/>
              </w:rPr>
            </w:pPr>
          </w:p>
        </w:tc>
        <w:tc>
          <w:tcPr>
            <w:tcW w:w="2739" w:type="dxa"/>
            <w:vAlign w:val="center"/>
          </w:tcPr>
          <w:p>
            <w:pPr>
              <w:rPr>
                <w:rFonts w:hint="default" w:ascii="Times New Roman" w:hAnsi="Times New Roman" w:eastAsia="仿宋" w:cs="Times New Roman"/>
                <w:b w:val="0"/>
                <w:bCs/>
                <w:color w:val="auto"/>
                <w:sz w:val="24"/>
              </w:rPr>
            </w:pPr>
            <w:r>
              <w:rPr>
                <w:rFonts w:hint="default" w:ascii="Times New Roman" w:hAnsi="Times New Roman" w:eastAsia="仿宋" w:cs="Times New Roman"/>
                <w:b w:val="0"/>
                <w:bCs/>
                <w:color w:val="auto"/>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atLeast"/>
          <w:jc w:val="center"/>
        </w:trPr>
        <w:tc>
          <w:tcPr>
            <w:tcW w:w="1381" w:type="dxa"/>
            <w:vMerge w:val="continue"/>
            <w:vAlign w:val="center"/>
          </w:tcPr>
          <w:p>
            <w:pPr>
              <w:jc w:val="center"/>
              <w:rPr>
                <w:rFonts w:hint="default" w:ascii="Times New Roman" w:hAnsi="Times New Roman" w:eastAsia="仿宋" w:cs="Times New Roman"/>
                <w:b/>
                <w:color w:val="auto"/>
                <w:sz w:val="24"/>
              </w:rPr>
            </w:pPr>
          </w:p>
        </w:tc>
        <w:tc>
          <w:tcPr>
            <w:tcW w:w="1134" w:type="dxa"/>
            <w:vMerge w:val="continue"/>
            <w:vAlign w:val="center"/>
          </w:tcPr>
          <w:p>
            <w:pPr>
              <w:rPr>
                <w:rFonts w:hint="default" w:ascii="Times New Roman" w:hAnsi="Times New Roman" w:eastAsia="仿宋" w:cs="Times New Roman"/>
                <w:b/>
                <w:color w:val="auto"/>
                <w:sz w:val="24"/>
              </w:rPr>
            </w:pPr>
          </w:p>
        </w:tc>
        <w:tc>
          <w:tcPr>
            <w:tcW w:w="1390" w:type="dxa"/>
            <w:vMerge w:val="continue"/>
            <w:vAlign w:val="center"/>
          </w:tcPr>
          <w:p>
            <w:pPr>
              <w:ind w:firstLine="241" w:firstLineChars="100"/>
              <w:rPr>
                <w:rFonts w:hint="default" w:ascii="Times New Roman" w:hAnsi="Times New Roman" w:eastAsia="仿宋" w:cs="Times New Roman"/>
                <w:b/>
                <w:color w:val="auto"/>
                <w:sz w:val="24"/>
              </w:rPr>
            </w:pPr>
          </w:p>
        </w:tc>
        <w:tc>
          <w:tcPr>
            <w:tcW w:w="1234" w:type="dxa"/>
            <w:vMerge w:val="continue"/>
            <w:vAlign w:val="center"/>
          </w:tcPr>
          <w:p>
            <w:pPr>
              <w:jc w:val="center"/>
              <w:rPr>
                <w:rFonts w:hint="default" w:ascii="Times New Roman" w:hAnsi="Times New Roman" w:eastAsia="仿宋" w:cs="Times New Roman"/>
                <w:b/>
                <w:color w:val="auto"/>
                <w:sz w:val="24"/>
              </w:rPr>
            </w:pPr>
          </w:p>
        </w:tc>
        <w:tc>
          <w:tcPr>
            <w:tcW w:w="1239" w:type="dxa"/>
            <w:vMerge w:val="continue"/>
            <w:vAlign w:val="center"/>
          </w:tcPr>
          <w:p>
            <w:pPr>
              <w:jc w:val="center"/>
              <w:rPr>
                <w:rFonts w:hint="default" w:ascii="Times New Roman" w:hAnsi="Times New Roman" w:eastAsia="仿宋" w:cs="Times New Roman"/>
                <w:b/>
                <w:color w:val="auto"/>
                <w:sz w:val="24"/>
              </w:rPr>
            </w:pPr>
          </w:p>
        </w:tc>
        <w:tc>
          <w:tcPr>
            <w:tcW w:w="2739" w:type="dxa"/>
            <w:vAlign w:val="center"/>
          </w:tcPr>
          <w:p>
            <w:pPr>
              <w:rPr>
                <w:rFonts w:hint="default" w:ascii="Times New Roman" w:hAnsi="Times New Roman" w:eastAsia="仿宋" w:cs="Times New Roman"/>
                <w:b w:val="0"/>
                <w:bCs/>
                <w:color w:val="auto"/>
                <w:sz w:val="24"/>
              </w:rPr>
            </w:pPr>
            <w:r>
              <w:rPr>
                <w:rFonts w:hint="default" w:ascii="Times New Roman" w:hAnsi="Times New Roman" w:eastAsia="仿宋" w:cs="Times New Roman"/>
                <w:b w:val="0"/>
                <w:bCs/>
                <w:color w:val="auto"/>
                <w:sz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jc w:val="center"/>
        </w:trPr>
        <w:tc>
          <w:tcPr>
            <w:tcW w:w="1381" w:type="dxa"/>
            <w:vAlign w:val="center"/>
          </w:tcPr>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电子</w:t>
            </w:r>
          </w:p>
          <w:p>
            <w:pPr>
              <w:jc w:val="center"/>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邮箱</w:t>
            </w:r>
          </w:p>
        </w:tc>
        <w:tc>
          <w:tcPr>
            <w:tcW w:w="2524" w:type="dxa"/>
            <w:gridSpan w:val="2"/>
            <w:vAlign w:val="center"/>
          </w:tcPr>
          <w:p>
            <w:pPr>
              <w:jc w:val="center"/>
              <w:rPr>
                <w:rFonts w:hint="default" w:ascii="Times New Roman" w:hAnsi="Times New Roman" w:eastAsia="仿宋" w:cs="Times New Roman"/>
                <w:color w:val="auto"/>
                <w:sz w:val="24"/>
              </w:rPr>
            </w:pPr>
          </w:p>
        </w:tc>
        <w:tc>
          <w:tcPr>
            <w:tcW w:w="1234" w:type="dxa"/>
            <w:vAlign w:val="center"/>
          </w:tcPr>
          <w:p>
            <w:pPr>
              <w:jc w:val="center"/>
              <w:rPr>
                <w:rFonts w:hint="default" w:ascii="Times New Roman" w:hAnsi="Times New Roman" w:eastAsia="仿宋" w:cs="Times New Roman"/>
                <w:color w:val="auto"/>
                <w:sz w:val="24"/>
              </w:rPr>
            </w:pPr>
            <w:r>
              <w:rPr>
                <w:rFonts w:hint="default" w:ascii="Times New Roman" w:hAnsi="Times New Roman" w:eastAsia="仿宋" w:cs="Times New Roman"/>
                <w:b/>
                <w:color w:val="auto"/>
                <w:sz w:val="24"/>
              </w:rPr>
              <w:t>办公</w:t>
            </w:r>
            <w:r>
              <w:rPr>
                <w:rFonts w:hint="default" w:ascii="Times New Roman" w:hAnsi="Times New Roman" w:eastAsia="仿宋" w:cs="Times New Roman"/>
                <w:b/>
                <w:color w:val="auto"/>
                <w:sz w:val="24"/>
                <w:lang w:val="en-US" w:eastAsia="zh-CN"/>
              </w:rPr>
              <w:t xml:space="preserve">   </w:t>
            </w:r>
            <w:r>
              <w:rPr>
                <w:rFonts w:hint="default" w:ascii="Times New Roman" w:hAnsi="Times New Roman" w:eastAsia="仿宋" w:cs="Times New Roman"/>
                <w:b/>
                <w:color w:val="auto"/>
                <w:sz w:val="24"/>
              </w:rPr>
              <w:t>地点</w:t>
            </w:r>
          </w:p>
        </w:tc>
        <w:tc>
          <w:tcPr>
            <w:tcW w:w="3978" w:type="dxa"/>
            <w:gridSpan w:val="2"/>
            <w:vAlign w:val="center"/>
          </w:tcPr>
          <w:p>
            <w:pPr>
              <w:jc w:val="center"/>
              <w:rPr>
                <w:rFonts w:hint="default"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jc w:val="center"/>
        </w:trPr>
        <w:tc>
          <w:tcPr>
            <w:tcW w:w="1381" w:type="dxa"/>
            <w:vMerge w:val="restart"/>
            <w:vAlign w:val="center"/>
          </w:tcPr>
          <w:p>
            <w:pPr>
              <w:jc w:val="center"/>
              <w:rPr>
                <w:rFonts w:hint="default" w:ascii="Times New Roman" w:hAnsi="Times New Roman" w:eastAsia="仿宋" w:cs="Times New Roman"/>
                <w:b/>
                <w:color w:val="auto"/>
                <w:sz w:val="24"/>
                <w:lang w:eastAsia="zh-CN"/>
              </w:rPr>
            </w:pPr>
            <w:r>
              <w:rPr>
                <w:rFonts w:hint="default" w:ascii="Times New Roman" w:hAnsi="Times New Roman" w:eastAsia="仿宋" w:cs="Times New Roman"/>
                <w:b/>
                <w:color w:val="auto"/>
                <w:sz w:val="24"/>
                <w:lang w:eastAsia="zh-CN"/>
              </w:rPr>
              <w:t>年报发布</w:t>
            </w:r>
          </w:p>
          <w:p>
            <w:pPr>
              <w:jc w:val="center"/>
              <w:rPr>
                <w:rFonts w:hint="default" w:ascii="Times New Roman" w:hAnsi="Times New Roman" w:eastAsia="仿宋" w:cs="Times New Roman"/>
                <w:b/>
                <w:color w:val="auto"/>
                <w:sz w:val="24"/>
                <w:lang w:eastAsia="zh-CN"/>
              </w:rPr>
            </w:pPr>
            <w:r>
              <w:rPr>
                <w:rFonts w:hint="default" w:ascii="Times New Roman" w:hAnsi="Times New Roman" w:eastAsia="仿宋" w:cs="Times New Roman"/>
                <w:b/>
                <w:color w:val="auto"/>
                <w:sz w:val="24"/>
              </w:rPr>
              <w:t>网站</w:t>
            </w:r>
            <w:r>
              <w:rPr>
                <w:rFonts w:hint="default" w:ascii="Times New Roman" w:hAnsi="Times New Roman" w:eastAsia="仿宋" w:cs="Times New Roman"/>
                <w:b/>
                <w:color w:val="auto"/>
                <w:sz w:val="24"/>
                <w:lang w:eastAsia="zh-CN"/>
              </w:rPr>
              <w:t>链接</w:t>
            </w:r>
          </w:p>
        </w:tc>
        <w:tc>
          <w:tcPr>
            <w:tcW w:w="7736" w:type="dxa"/>
            <w:gridSpan w:val="5"/>
            <w:vAlign w:val="top"/>
          </w:tcPr>
          <w:p>
            <w:pPr>
              <w:numPr>
                <w:ilvl w:val="0"/>
                <w:numId w:val="0"/>
              </w:numPr>
              <w:spacing w:line="360" w:lineRule="auto"/>
              <w:jc w:val="both"/>
              <w:rPr>
                <w:rFonts w:hint="default"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lang w:val="en-US" w:eastAsia="zh-CN"/>
              </w:rPr>
              <w:t>1、单位网站发布链接：</w:t>
            </w:r>
          </w:p>
          <w:p>
            <w:pPr>
              <w:numPr>
                <w:ilvl w:val="0"/>
                <w:numId w:val="0"/>
              </w:numPr>
              <w:spacing w:line="360" w:lineRule="auto"/>
              <w:jc w:val="both"/>
              <w:rPr>
                <w:rFonts w:hint="default" w:ascii="Times New Roman" w:hAnsi="Times New Roman" w:eastAsia="仿宋" w:cs="Times New Roman"/>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1" w:hRule="atLeast"/>
          <w:jc w:val="center"/>
        </w:trPr>
        <w:tc>
          <w:tcPr>
            <w:tcW w:w="1381" w:type="dxa"/>
            <w:vMerge w:val="continue"/>
            <w:vAlign w:val="center"/>
          </w:tcPr>
          <w:p>
            <w:pPr>
              <w:spacing w:line="360" w:lineRule="auto"/>
              <w:jc w:val="both"/>
              <w:rPr>
                <w:rFonts w:hint="default" w:ascii="Times New Roman" w:hAnsi="Times New Roman" w:cs="Times New Roman"/>
                <w:color w:val="auto"/>
              </w:rPr>
            </w:pPr>
          </w:p>
        </w:tc>
        <w:tc>
          <w:tcPr>
            <w:tcW w:w="7736" w:type="dxa"/>
            <w:gridSpan w:val="5"/>
            <w:vAlign w:val="top"/>
          </w:tcPr>
          <w:p>
            <w:pPr>
              <w:numPr>
                <w:ilvl w:val="0"/>
                <w:numId w:val="0"/>
              </w:numPr>
              <w:spacing w:line="360" w:lineRule="auto"/>
              <w:jc w:val="both"/>
              <w:rPr>
                <w:rFonts w:hint="default"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lang w:val="en-US" w:eastAsia="zh-CN"/>
              </w:rPr>
              <w:t>2、政府门户网站发布链接：</w:t>
            </w:r>
          </w:p>
        </w:tc>
      </w:tr>
    </w:tbl>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pStyle w:val="4"/>
        <w:keepNext w:val="0"/>
        <w:keepLines w:val="0"/>
        <w:pageBreakBefore w:val="0"/>
        <w:widowControl/>
        <w:suppressLineNumbers w:val="0"/>
        <w:kinsoku/>
        <w:overflowPunct/>
        <w:topLinePunct w:val="0"/>
        <w:bidi w:val="0"/>
        <w:adjustRightInd/>
        <w:spacing w:before="0" w:beforeAutospacing="0" w:after="0" w:afterAutospacing="0" w:line="240" w:lineRule="auto"/>
        <w:ind w:left="0" w:leftChars="0" w:firstLine="0" w:firstLineChars="0"/>
        <w:jc w:val="center"/>
        <w:textAlignment w:val="auto"/>
        <w:rPr>
          <w:rFonts w:hint="default" w:ascii="Times New Roman" w:hAnsi="Times New Roman" w:eastAsia="方正小标宋简体" w:cs="Times New Roman"/>
          <w:b w:val="0"/>
          <w:bCs/>
          <w:color w:val="auto"/>
          <w:sz w:val="36"/>
          <w:szCs w:val="36"/>
        </w:rPr>
      </w:pPr>
    </w:p>
    <w:p>
      <w:pPr>
        <w:keepNext w:val="0"/>
        <w:keepLines w:val="0"/>
        <w:pageBreakBefore w:val="0"/>
        <w:widowControl w:val="0"/>
        <w:kinsoku/>
        <w:wordWrap/>
        <w:overflowPunct/>
        <w:topLinePunct w:val="0"/>
        <w:autoSpaceDE/>
        <w:autoSpaceDN/>
        <w:bidi w:val="0"/>
        <w:adjustRightInd/>
        <w:textAlignment w:val="auto"/>
        <w:rPr>
          <w:rFonts w:hint="default" w:ascii="Times New Roman" w:hAnsi="Times New Roman" w:cs="Times New Roman"/>
          <w:color w:val="auto"/>
        </w:rPr>
      </w:pPr>
    </w:p>
    <w:p>
      <w:bookmarkStart w:id="0" w:name="_GoBack"/>
      <w:bookmarkEnd w:id="0"/>
    </w:p>
    <w:sectPr>
      <w:footerReference r:id="rId3" w:type="default"/>
      <w:pgSz w:w="11906" w:h="16838"/>
      <w:pgMar w:top="1701" w:right="1417" w:bottom="1417" w:left="1417"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536"/>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r>
                      <w:rPr>
                        <w:rFonts w:hint="eastAsia" w:asciiTheme="majorEastAsia" w:hAnsiTheme="majorEastAsia" w:eastAsiaTheme="majorEastAsia" w:cstheme="majorEastAsia"/>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166EE9"/>
    <w:rsid w:val="3F166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qFormat/>
    <w:uiPriority w:val="99"/>
    <w:pPr>
      <w:widowControl w:val="0"/>
      <w:spacing w:after="120" w:line="360" w:lineRule="auto"/>
      <w:ind w:firstLine="480" w:firstLineChars="200"/>
      <w:jc w:val="both"/>
    </w:pPr>
    <w:rPr>
      <w:rFonts w:ascii="Calibri" w:hAnsi="Calibri" w:eastAsia="华文仿宋" w:cstheme="minorBidi"/>
      <w:kern w:val="2"/>
      <w:sz w:val="30"/>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2023-02-09T03:50:00Z</dcterms:created>
  <dc:creator>Admin</dc:creator>
  <cp:lastModifiedBy>Admin</cp:lastModifiedBy>
  <dcterms:modified xsi:type="dcterms:W3CDTF">2023-02-09T03:51:04Z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