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071" w:type="dxa"/>
        <w:jc w:val="center"/>
        <w:tblBorders>
          <w:top w:val="none" w:color="auto" w:sz="0" w:space="0"/>
          <w:left w:val="none" w:color="auto" w:sz="0" w:space="0"/>
          <w:bottom w:val="thinThickSmallGap" w:color="FF0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71"/>
      </w:tblGrid>
      <w:tr>
        <w:tblPrEx>
          <w:tblBorders>
            <w:top w:val="none" w:color="auto" w:sz="0" w:space="0"/>
            <w:left w:val="none" w:color="auto" w:sz="0" w:space="0"/>
            <w:bottom w:val="thinThickSmallGap" w:color="FF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71" w:type="dxa"/>
            <w:tcBorders>
              <w:tl2br w:val="nil"/>
              <w:tr2bl w:val="nil"/>
            </w:tcBorders>
            <w:vAlign w:val="top"/>
          </w:tcPr>
          <w:p>
            <w:pPr>
              <w:jc w:val="center"/>
              <w:rPr>
                <w:rFonts w:hint="eastAsia" w:ascii="方正小标宋简体" w:hAnsi="方正小标宋简体" w:eastAsia="方正小标宋简体" w:cs="方正小标宋简体"/>
                <w:vertAlign w:val="baseline"/>
                <w:lang w:eastAsia="zh-CN"/>
              </w:rPr>
            </w:pPr>
            <w:r>
              <w:rPr>
                <w:rFonts w:hint="eastAsia" w:ascii="方正小标宋简体" w:hAnsi="方正小标宋简体" w:eastAsia="方正小标宋简体" w:cs="方正小标宋简体"/>
                <w:b w:val="0"/>
                <w:bCs w:val="0"/>
                <w:color w:val="FF0000"/>
                <w:spacing w:val="-11"/>
                <w:w w:val="45"/>
                <w:kern w:val="0"/>
                <w:sz w:val="90"/>
                <w:szCs w:val="90"/>
                <w:vertAlign w:val="baseline"/>
                <w:lang w:eastAsia="zh-CN"/>
              </w:rPr>
              <w:t>长沙市望城区政务公开政务服务工作领导小组办公室</w:t>
            </w:r>
          </w:p>
        </w:tc>
      </w:tr>
    </w:tbl>
    <w:p>
      <w:pPr>
        <w:keepNext w:val="0"/>
        <w:keepLines w:val="0"/>
        <w:pageBreakBefore w:val="0"/>
        <w:widowControl w:val="0"/>
        <w:kinsoku/>
        <w:wordWrap/>
        <w:overflowPunct/>
        <w:topLinePunct w:val="0"/>
        <w:autoSpaceDE/>
        <w:autoSpaceDN/>
        <w:bidi w:val="0"/>
        <w:adjustRightInd/>
        <w:snapToGrid/>
        <w:spacing w:line="640" w:lineRule="exact"/>
        <w:ind w:firstLine="5120" w:firstLineChars="1600"/>
        <w:jc w:val="left"/>
        <w:textAlignment w:val="auto"/>
        <w:rPr>
          <w:rFonts w:hint="default"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pacing w:val="-11"/>
          <w:sz w:val="44"/>
          <w:szCs w:val="44"/>
        </w:rPr>
      </w:pPr>
      <w:r>
        <w:rPr>
          <w:rFonts w:hint="default" w:ascii="Times New Roman" w:hAnsi="Times New Roman" w:eastAsia="方正小标宋简体" w:cs="Times New Roman"/>
          <w:spacing w:val="-11"/>
          <w:sz w:val="44"/>
          <w:szCs w:val="44"/>
        </w:rPr>
        <w:t>关于进一步加强基层政务公开专栏信息发布</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pacing w:val="-11"/>
          <w:sz w:val="44"/>
          <w:szCs w:val="44"/>
        </w:rPr>
      </w:pPr>
      <w:r>
        <w:rPr>
          <w:rFonts w:hint="default" w:ascii="Times New Roman" w:hAnsi="Times New Roman" w:eastAsia="方正小标宋简体" w:cs="Times New Roman"/>
          <w:spacing w:val="-11"/>
          <w:sz w:val="44"/>
          <w:szCs w:val="44"/>
        </w:rPr>
        <w:t>有关事项的通知</w:t>
      </w:r>
    </w:p>
    <w:p>
      <w:pPr>
        <w:keepNext w:val="0"/>
        <w:keepLines w:val="0"/>
        <w:pageBreakBefore w:val="0"/>
        <w:widowControl w:val="0"/>
        <w:kinsoku/>
        <w:wordWrap/>
        <w:overflowPunct/>
        <w:topLinePunct w:val="0"/>
        <w:autoSpaceDE/>
        <w:autoSpaceDN/>
        <w:bidi w:val="0"/>
        <w:adjustRightInd/>
        <w:snapToGrid/>
        <w:spacing w:line="640" w:lineRule="exact"/>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各街道办事处、</w:t>
      </w:r>
      <w:r>
        <w:rPr>
          <w:rFonts w:hint="eastAsia" w:ascii="仿宋_GB2312" w:hAnsi="仿宋_GB2312" w:eastAsia="仿宋_GB2312" w:cs="仿宋_GB2312"/>
          <w:sz w:val="32"/>
          <w:szCs w:val="32"/>
        </w:rPr>
        <w:t>区直各有关单位：</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rPr>
      </w:pPr>
      <w:r>
        <w:rPr>
          <w:rFonts w:hint="eastAsia" w:ascii="仿宋_GB2312" w:hAnsi="仿宋_GB2312" w:eastAsia="仿宋_GB2312" w:cs="仿宋_GB2312"/>
          <w:sz w:val="32"/>
          <w:szCs w:val="32"/>
        </w:rPr>
        <w:t>根据长沙市政务公开政务服务工作领导小</w:t>
      </w:r>
      <w:r>
        <w:rPr>
          <w:rFonts w:hint="eastAsia" w:ascii="仿宋_GB2312" w:hAnsi="仿宋_GB2312" w:eastAsia="仿宋_GB2312" w:cs="仿宋_GB2312"/>
          <w:sz w:val="32"/>
          <w:szCs w:val="32"/>
          <w:lang w:eastAsia="zh-CN"/>
        </w:rPr>
        <w:t>组办公室网上抽查政务公开情况通报和全省</w:t>
      </w:r>
      <w:r>
        <w:rPr>
          <w:rFonts w:hint="eastAsia" w:ascii="仿宋_GB2312" w:hAnsi="仿宋_GB2312" w:eastAsia="仿宋_GB2312" w:cs="仿宋_GB2312"/>
          <w:sz w:val="32"/>
          <w:szCs w:val="32"/>
          <w:lang w:val="en-US" w:eastAsia="zh-CN"/>
        </w:rPr>
        <w:t>2022年政务公开第三方评估情况的通报，我区政务公开方面还存在一些问题：各街道办事处、区直各相关单位重大民生信息栏目、基层政务公开专栏存在质量参差不齐、信息录入数量不多、信息发布内容不全，有的栏目信息内容存在缺失等。为进一步强化基层政务公开专栏、重大民生信息栏目功能发挥，提升企业和群众查询信息的便捷度和满意度，现将有关事项通知如下：</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黑体" w:cs="Times New Roman"/>
          <w:sz w:val="32"/>
          <w:szCs w:val="32"/>
          <w:lang w:eastAsia="zh-CN"/>
        </w:rPr>
        <w:t>一、</w:t>
      </w:r>
      <w:r>
        <w:rPr>
          <w:rFonts w:hint="default" w:ascii="Times New Roman" w:hAnsi="Times New Roman" w:eastAsia="黑体" w:cs="Times New Roman"/>
          <w:sz w:val="32"/>
          <w:szCs w:val="32"/>
        </w:rPr>
        <w:t>加快信息补录</w:t>
      </w:r>
      <w:r>
        <w:rPr>
          <w:rFonts w:hint="eastAsia" w:ascii="Times New Roman" w:hAnsi="Times New Roman" w:eastAsia="黑体" w:cs="Times New Roman"/>
          <w:sz w:val="32"/>
          <w:szCs w:val="32"/>
          <w:lang w:eastAsia="zh-CN"/>
        </w:rPr>
        <w:t>、更新发布</w:t>
      </w:r>
      <w:r>
        <w:rPr>
          <w:rFonts w:hint="default" w:ascii="Times New Roman" w:hAnsi="Times New Roman" w:eastAsia="黑体" w:cs="Times New Roman"/>
          <w:sz w:val="32"/>
          <w:szCs w:val="32"/>
        </w:rPr>
        <w:t>。</w:t>
      </w:r>
      <w:r>
        <w:rPr>
          <w:rFonts w:hint="eastAsia" w:ascii="Times New Roman" w:hAnsi="Times New Roman" w:eastAsia="仿宋_GB2312" w:cs="Times New Roman"/>
          <w:sz w:val="32"/>
          <w:szCs w:val="32"/>
          <w:lang w:eastAsia="zh-CN"/>
        </w:rPr>
        <w:t>我区区直各单位与长沙市其它区县（市）基层政务公开专栏同领域数据对比，我区有部分领域信息录入不完整且数据相差甚大，如：卫生健康领域（区卫健局）、城管综合执法领域（区城管局）、国有土地上房屋征收与补偿（区征地服务中心）、保障性住房领域（区住保中心）、广播电视领域（区文体局）、涉农补贴领域（区农业农村局）等</w:t>
      </w:r>
      <w:r>
        <w:rPr>
          <w:rFonts w:hint="eastAsia" w:ascii="Times New Roman" w:hAnsi="Times New Roman" w:eastAsia="仿宋_GB2312" w:cs="Times New Roman"/>
          <w:sz w:val="32"/>
          <w:szCs w:val="32"/>
          <w:lang w:val="en-US" w:eastAsia="zh-CN"/>
        </w:rPr>
        <w:t>存在信息录入量不多等情况</w:t>
      </w:r>
      <w:r>
        <w:rPr>
          <w:rFonts w:hint="eastAsia" w:ascii="Times New Roman" w:hAnsi="Times New Roman" w:eastAsia="仿宋_GB2312" w:cs="Times New Roman"/>
          <w:sz w:val="32"/>
          <w:szCs w:val="32"/>
          <w:lang w:eastAsia="zh-CN"/>
        </w:rPr>
        <w:t>（详见附件</w:t>
      </w:r>
      <w:r>
        <w:rPr>
          <w:rFonts w:hint="eastAsia" w:ascii="Times New Roman" w:hAnsi="Times New Roman" w:eastAsia="仿宋_GB2312" w:cs="Times New Roman"/>
          <w:sz w:val="32"/>
          <w:szCs w:val="32"/>
          <w:lang w:val="en-US" w:eastAsia="zh-CN"/>
        </w:rPr>
        <w:t>1）。为</w:t>
      </w:r>
      <w:r>
        <w:rPr>
          <w:rFonts w:hint="default" w:ascii="Times New Roman" w:hAnsi="Times New Roman" w:eastAsia="仿宋_GB2312" w:cs="Times New Roman"/>
          <w:sz w:val="32"/>
          <w:szCs w:val="32"/>
          <w:lang w:eastAsia="zh-CN"/>
        </w:rPr>
        <w:t>全面提升</w:t>
      </w:r>
      <w:r>
        <w:rPr>
          <w:rFonts w:hint="eastAsia" w:ascii="Times New Roman" w:hAnsi="Times New Roman" w:eastAsia="仿宋_GB2312" w:cs="Times New Roman"/>
          <w:sz w:val="32"/>
          <w:szCs w:val="32"/>
          <w:lang w:eastAsia="zh-CN"/>
        </w:rPr>
        <w:t>我区</w:t>
      </w:r>
      <w:r>
        <w:rPr>
          <w:rFonts w:hint="default" w:ascii="Times New Roman" w:hAnsi="Times New Roman" w:eastAsia="仿宋_GB2312" w:cs="Times New Roman"/>
          <w:sz w:val="32"/>
          <w:szCs w:val="32"/>
          <w:lang w:eastAsia="zh-CN"/>
        </w:rPr>
        <w:t>基层政务公开专栏</w:t>
      </w:r>
      <w:r>
        <w:rPr>
          <w:rFonts w:hint="default" w:ascii="Times New Roman" w:hAnsi="Times New Roman" w:eastAsia="仿宋_GB2312" w:cs="Times New Roman"/>
          <w:sz w:val="32"/>
          <w:szCs w:val="32"/>
        </w:rPr>
        <w:t>信息发布的质量</w:t>
      </w:r>
      <w:r>
        <w:rPr>
          <w:rFonts w:hint="eastAsia" w:ascii="Times New Roman" w:hAnsi="Times New Roman" w:eastAsia="仿宋_GB2312" w:cs="Times New Roman"/>
          <w:sz w:val="32"/>
          <w:szCs w:val="32"/>
          <w:lang w:eastAsia="zh-CN"/>
        </w:rPr>
        <w:t>，请所有领域各相关部门</w:t>
      </w:r>
      <w:r>
        <w:rPr>
          <w:rFonts w:hint="default" w:ascii="Times New Roman" w:hAnsi="Times New Roman" w:eastAsia="仿宋_GB2312" w:cs="Times New Roman"/>
          <w:sz w:val="32"/>
          <w:szCs w:val="32"/>
        </w:rPr>
        <w:t>高度重视，</w:t>
      </w:r>
      <w:r>
        <w:rPr>
          <w:rFonts w:hint="eastAsia" w:ascii="Times New Roman" w:hAnsi="Times New Roman" w:eastAsia="仿宋_GB2312" w:cs="Times New Roman"/>
          <w:sz w:val="32"/>
          <w:szCs w:val="32"/>
          <w:lang w:eastAsia="zh-CN"/>
        </w:rPr>
        <w:t>安排专人对照基层政务公开标准目录进行补录、更新发布；对基层政务公开专栏后台中历史数据进行核实、甄别、补录并及时发布</w:t>
      </w:r>
      <w:r>
        <w:rPr>
          <w:rFonts w:hint="eastAsia" w:ascii="Times New Roman" w:hAnsi="Times New Roman" w:eastAsia="仿宋_GB2312" w:cs="Times New Roman"/>
          <w:sz w:val="32"/>
          <w:szCs w:val="32"/>
          <w:lang w:val="en-US" w:eastAsia="zh-CN"/>
        </w:rPr>
        <w:t>(对</w:t>
      </w:r>
      <w:r>
        <w:rPr>
          <w:rFonts w:hint="eastAsia" w:ascii="Times New Roman" w:hAnsi="Times New Roman" w:eastAsia="仿宋_GB2312" w:cs="Times New Roman"/>
          <w:sz w:val="32"/>
          <w:szCs w:val="32"/>
          <w:lang w:eastAsia="zh-CN"/>
        </w:rPr>
        <w:t>专栏中“待签”、“待编”、“待审”状态中的数据进行严格审查后发布</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eastAsia="zh-CN"/>
        </w:rPr>
        <w:t>以上工作请于</w:t>
      </w:r>
      <w:r>
        <w:rPr>
          <w:rFonts w:hint="default" w:ascii="Times New Roman" w:hAnsi="Times New Roman" w:eastAsia="仿宋_GB2312" w:cs="Times New Roman"/>
          <w:sz w:val="32"/>
          <w:szCs w:val="32"/>
          <w:lang w:eastAsia="zh-CN"/>
        </w:rPr>
        <w:t>2月2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eastAsia="zh-CN"/>
        </w:rPr>
        <w:t>日</w:t>
      </w:r>
      <w:r>
        <w:rPr>
          <w:rFonts w:hint="eastAsia" w:ascii="Times New Roman" w:hAnsi="Times New Roman" w:eastAsia="仿宋_GB2312" w:cs="Times New Roman"/>
          <w:sz w:val="32"/>
          <w:szCs w:val="32"/>
          <w:lang w:eastAsia="zh-CN"/>
        </w:rPr>
        <w:t>前完成。</w:t>
      </w:r>
    </w:p>
    <w:p>
      <w:pPr>
        <w:keepNext w:val="0"/>
        <w:keepLines w:val="0"/>
        <w:pageBreakBefore w:val="0"/>
        <w:widowControl w:val="0"/>
        <w:numPr>
          <w:numId w:val="0"/>
        </w:numPr>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黑体" w:cs="Times New Roman"/>
          <w:sz w:val="32"/>
          <w:szCs w:val="32"/>
          <w:lang w:eastAsia="zh-CN"/>
        </w:rPr>
        <w:t>二、</w:t>
      </w:r>
      <w:r>
        <w:rPr>
          <w:rFonts w:hint="default" w:ascii="Times New Roman" w:hAnsi="Times New Roman" w:eastAsia="黑体" w:cs="Times New Roman"/>
          <w:sz w:val="32"/>
          <w:szCs w:val="32"/>
        </w:rPr>
        <w:t>强化</w:t>
      </w:r>
      <w:r>
        <w:rPr>
          <w:rFonts w:hint="eastAsia" w:ascii="Times New Roman" w:hAnsi="Times New Roman" w:eastAsia="黑体" w:cs="Times New Roman"/>
          <w:sz w:val="32"/>
          <w:szCs w:val="32"/>
          <w:lang w:eastAsia="zh-CN"/>
        </w:rPr>
        <w:t>专栏</w:t>
      </w:r>
      <w:r>
        <w:rPr>
          <w:rFonts w:hint="default" w:ascii="Times New Roman" w:hAnsi="Times New Roman" w:eastAsia="黑体" w:cs="Times New Roman"/>
          <w:sz w:val="32"/>
          <w:szCs w:val="32"/>
        </w:rPr>
        <w:t>内容常态保障。</w:t>
      </w:r>
      <w:r>
        <w:rPr>
          <w:rFonts w:hint="eastAsia" w:ascii="Times New Roman" w:hAnsi="Times New Roman" w:eastAsia="仿宋_GB2312" w:cs="Times New Roman"/>
          <w:sz w:val="32"/>
          <w:szCs w:val="32"/>
          <w:lang w:val="en-US" w:eastAsia="zh-CN"/>
        </w:rPr>
        <w:t>各街道办事处、区直各部门要</w:t>
      </w:r>
      <w:r>
        <w:rPr>
          <w:rFonts w:hint="default" w:ascii="Times New Roman" w:hAnsi="Times New Roman" w:eastAsia="仿宋_GB2312" w:cs="Times New Roman"/>
          <w:sz w:val="32"/>
          <w:szCs w:val="32"/>
        </w:rPr>
        <w:t>进一步明确各领域公开目录信息发布人员职责，对照基层政务公开标准目录严格按照法定时限做好各类主动公开信息的填报和发布</w:t>
      </w:r>
      <w:r>
        <w:rPr>
          <w:rFonts w:hint="default" w:ascii="Times New Roman" w:hAnsi="Times New Roman" w:eastAsia="仿宋_GB2312" w:cs="Times New Roman"/>
          <w:sz w:val="32"/>
          <w:szCs w:val="32"/>
          <w:lang w:eastAsia="zh-CN"/>
        </w:rPr>
        <w:t>，并</w:t>
      </w:r>
      <w:r>
        <w:rPr>
          <w:rFonts w:hint="default" w:ascii="Times New Roman" w:hAnsi="Times New Roman" w:eastAsia="仿宋_GB2312" w:cs="Times New Roman"/>
          <w:sz w:val="32"/>
          <w:szCs w:val="32"/>
        </w:rPr>
        <w:t>进行常态化保障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如</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月度统计、季度统计类栏目应按月、</w:t>
      </w:r>
      <w:r>
        <w:rPr>
          <w:rFonts w:hint="default" w:ascii="Times New Roman" w:hAnsi="Times New Roman" w:eastAsia="仿宋_GB2312" w:cs="Times New Roman"/>
          <w:sz w:val="32"/>
          <w:szCs w:val="32"/>
          <w:lang w:eastAsia="zh-CN"/>
        </w:rPr>
        <w:t>按</w:t>
      </w:r>
      <w:r>
        <w:rPr>
          <w:rFonts w:hint="default" w:ascii="Times New Roman" w:hAnsi="Times New Roman" w:eastAsia="仿宋_GB2312" w:cs="Times New Roman"/>
          <w:sz w:val="32"/>
          <w:szCs w:val="32"/>
        </w:rPr>
        <w:t>季度进行内容更新；定期组织开展</w:t>
      </w:r>
      <w:r>
        <w:rPr>
          <w:rFonts w:hint="eastAsia" w:ascii="Times New Roman" w:hAnsi="Times New Roman" w:eastAsia="仿宋_GB2312" w:cs="Times New Roman"/>
          <w:sz w:val="32"/>
          <w:szCs w:val="32"/>
          <w:lang w:eastAsia="zh-CN"/>
        </w:rPr>
        <w:t>重大民生栏目、基层政务公开</w:t>
      </w:r>
      <w:r>
        <w:rPr>
          <w:rFonts w:hint="default" w:ascii="Times New Roman" w:hAnsi="Times New Roman" w:eastAsia="仿宋_GB2312" w:cs="Times New Roman"/>
          <w:sz w:val="32"/>
          <w:szCs w:val="32"/>
        </w:rPr>
        <w:t>专栏</w:t>
      </w:r>
      <w:r>
        <w:rPr>
          <w:rFonts w:hint="eastAsia" w:ascii="Times New Roman" w:hAnsi="Times New Roman" w:eastAsia="仿宋_GB2312" w:cs="Times New Roman"/>
          <w:sz w:val="32"/>
          <w:szCs w:val="32"/>
          <w:lang w:eastAsia="zh-CN"/>
        </w:rPr>
        <w:t>自查</w:t>
      </w:r>
      <w:r>
        <w:rPr>
          <w:rFonts w:hint="default" w:ascii="Times New Roman" w:hAnsi="Times New Roman" w:eastAsia="仿宋_GB2312" w:cs="Times New Roman"/>
          <w:sz w:val="32"/>
          <w:szCs w:val="32"/>
        </w:rPr>
        <w:t>工作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对链接错误、表述不规范等问题</w:t>
      </w:r>
      <w:r>
        <w:rPr>
          <w:rFonts w:hint="default" w:ascii="Times New Roman" w:hAnsi="Times New Roman" w:eastAsia="仿宋_GB2312" w:cs="Times New Roman"/>
          <w:sz w:val="32"/>
          <w:szCs w:val="32"/>
          <w:lang w:eastAsia="zh-CN"/>
        </w:rPr>
        <w:t>进行</w:t>
      </w:r>
      <w:r>
        <w:rPr>
          <w:rFonts w:hint="default" w:ascii="Times New Roman" w:hAnsi="Times New Roman" w:eastAsia="仿宋_GB2312" w:cs="Times New Roman"/>
          <w:sz w:val="32"/>
          <w:szCs w:val="32"/>
        </w:rPr>
        <w:t>整改，确保</w:t>
      </w:r>
      <w:r>
        <w:rPr>
          <w:rFonts w:hint="eastAsia" w:ascii="Times New Roman" w:hAnsi="Times New Roman" w:eastAsia="仿宋_GB2312" w:cs="Times New Roman"/>
          <w:sz w:val="32"/>
          <w:szCs w:val="32"/>
          <w:lang w:eastAsia="zh-CN"/>
        </w:rPr>
        <w:t>重大民生栏目、基层政务公开</w:t>
      </w:r>
      <w:r>
        <w:rPr>
          <w:rFonts w:hint="default" w:ascii="Times New Roman" w:hAnsi="Times New Roman" w:eastAsia="仿宋_GB2312" w:cs="Times New Roman"/>
          <w:sz w:val="32"/>
          <w:szCs w:val="32"/>
        </w:rPr>
        <w:t>专栏正常运行。</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政务公开</w:t>
      </w:r>
      <w:r>
        <w:rPr>
          <w:rFonts w:hint="default" w:ascii="Times New Roman" w:hAnsi="Times New Roman" w:eastAsia="仿宋_GB2312" w:cs="Times New Roman"/>
          <w:sz w:val="32"/>
          <w:szCs w:val="32"/>
          <w:lang w:eastAsia="zh-CN"/>
        </w:rPr>
        <w:t>办</w:t>
      </w:r>
      <w:r>
        <w:rPr>
          <w:rFonts w:hint="default" w:ascii="Times New Roman" w:hAnsi="Times New Roman" w:eastAsia="仿宋_GB2312" w:cs="Times New Roman"/>
          <w:sz w:val="32"/>
          <w:szCs w:val="32"/>
        </w:rPr>
        <w:t>将</w:t>
      </w:r>
      <w:r>
        <w:rPr>
          <w:rFonts w:hint="default" w:ascii="Times New Roman" w:hAnsi="Times New Roman" w:eastAsia="仿宋_GB2312" w:cs="Times New Roman"/>
          <w:sz w:val="32"/>
          <w:szCs w:val="32"/>
          <w:lang w:eastAsia="zh-CN"/>
        </w:rPr>
        <w:t>不定期</w:t>
      </w:r>
      <w:r>
        <w:rPr>
          <w:rFonts w:hint="default" w:ascii="Times New Roman" w:hAnsi="Times New Roman" w:eastAsia="仿宋_GB2312" w:cs="Times New Roman"/>
          <w:sz w:val="32"/>
          <w:szCs w:val="32"/>
        </w:rPr>
        <w:t>对</w:t>
      </w:r>
      <w:r>
        <w:rPr>
          <w:rFonts w:hint="eastAsia" w:ascii="Times New Roman" w:hAnsi="Times New Roman" w:eastAsia="仿宋_GB2312" w:cs="Times New Roman"/>
          <w:sz w:val="32"/>
          <w:szCs w:val="32"/>
          <w:lang w:eastAsia="zh-CN"/>
        </w:rPr>
        <w:t>重大民生栏目、</w:t>
      </w:r>
      <w:r>
        <w:rPr>
          <w:rFonts w:hint="default" w:ascii="Times New Roman" w:hAnsi="Times New Roman" w:eastAsia="仿宋_GB2312" w:cs="Times New Roman"/>
          <w:sz w:val="32"/>
          <w:szCs w:val="32"/>
        </w:rPr>
        <w:t>基层政务公开专栏</w:t>
      </w:r>
      <w:r>
        <w:rPr>
          <w:rFonts w:hint="default" w:ascii="Times New Roman" w:hAnsi="Times New Roman" w:eastAsia="仿宋_GB2312" w:cs="Times New Roman"/>
          <w:sz w:val="32"/>
          <w:szCs w:val="32"/>
          <w:lang w:eastAsia="zh-CN"/>
        </w:rPr>
        <w:t>开展</w:t>
      </w:r>
      <w:r>
        <w:rPr>
          <w:rFonts w:hint="default" w:ascii="Times New Roman" w:hAnsi="Times New Roman" w:eastAsia="仿宋_GB2312" w:cs="Times New Roman"/>
          <w:sz w:val="32"/>
          <w:szCs w:val="32"/>
        </w:rPr>
        <w:t>巡检抽查，对发现的操作不规范、链接无效、表述不规范或内容错误、信息更新不及时、公开链接无法查找到对应事项、公开内容不符合规范要求等</w:t>
      </w:r>
      <w:r>
        <w:rPr>
          <w:rFonts w:hint="default" w:ascii="Times New Roman" w:hAnsi="Times New Roman" w:eastAsia="仿宋_GB2312" w:cs="Times New Roman"/>
          <w:sz w:val="32"/>
          <w:szCs w:val="32"/>
          <w:lang w:eastAsia="zh-CN"/>
        </w:rPr>
        <w:t>情况</w:t>
      </w:r>
      <w:r>
        <w:rPr>
          <w:rFonts w:hint="default" w:ascii="Times New Roman" w:hAnsi="Times New Roman" w:eastAsia="仿宋_GB2312" w:cs="Times New Roman"/>
          <w:sz w:val="32"/>
          <w:szCs w:val="32"/>
        </w:rPr>
        <w:t>进行通报，对积极进行信息发布</w:t>
      </w:r>
      <w:r>
        <w:rPr>
          <w:rFonts w:hint="eastAsia"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予以表扬，通报结果</w:t>
      </w:r>
      <w:r>
        <w:rPr>
          <w:rFonts w:hint="default" w:ascii="Times New Roman" w:hAnsi="Times New Roman" w:eastAsia="仿宋_GB2312" w:cs="Times New Roman"/>
          <w:sz w:val="32"/>
          <w:szCs w:val="32"/>
          <w:lang w:eastAsia="zh-CN"/>
        </w:rPr>
        <w:t>作为</w:t>
      </w:r>
      <w:r>
        <w:rPr>
          <w:rFonts w:hint="default" w:ascii="Times New Roman" w:hAnsi="Times New Roman" w:eastAsia="仿宋_GB2312" w:cs="Times New Roman"/>
          <w:sz w:val="32"/>
          <w:szCs w:val="32"/>
        </w:rPr>
        <w:t>政务公开绩效考核</w:t>
      </w:r>
      <w:r>
        <w:rPr>
          <w:rFonts w:hint="default" w:ascii="Times New Roman" w:hAnsi="Times New Roman" w:eastAsia="仿宋_GB2312" w:cs="Times New Roman"/>
          <w:sz w:val="32"/>
          <w:szCs w:val="32"/>
          <w:lang w:eastAsia="zh-CN"/>
        </w:rPr>
        <w:t>依据</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区政务公开办联系电话：88100650。</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附件：</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长沙市基层政务公开专栏信息发布情况统计</w:t>
      </w:r>
      <w:r>
        <w:rPr>
          <w:rFonts w:hint="default" w:ascii="Times New Roman" w:hAnsi="Times New Roman" w:eastAsia="仿宋_GB2312" w:cs="Times New Roman"/>
          <w:sz w:val="32"/>
          <w:szCs w:val="32"/>
          <w:lang w:val="en-US" w:eastAsia="zh-CN"/>
        </w:rPr>
        <w:t>表</w:t>
      </w:r>
    </w:p>
    <w:p>
      <w:pPr>
        <w:keepNext w:val="0"/>
        <w:keepLines w:val="0"/>
        <w:pageBreakBefore w:val="0"/>
        <w:widowControl w:val="0"/>
        <w:kinsoku/>
        <w:wordWrap/>
        <w:overflowPunct/>
        <w:topLinePunct w:val="0"/>
        <w:autoSpaceDE/>
        <w:autoSpaceDN/>
        <w:bidi w:val="0"/>
        <w:adjustRightInd/>
        <w:snapToGrid/>
        <w:spacing w:line="640" w:lineRule="exact"/>
        <w:ind w:firstLine="1600" w:firstLineChars="5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2.长沙市基层政务公开专栏信息发布情况对比表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default" w:ascii="Times New Roman" w:hAnsi="Times New Roman"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righ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长沙市</w:t>
      </w:r>
      <w:r>
        <w:rPr>
          <w:rFonts w:hint="eastAsia" w:ascii="Times New Roman" w:hAnsi="Times New Roman" w:eastAsia="仿宋_GB2312" w:cs="Times New Roman"/>
          <w:sz w:val="32"/>
          <w:szCs w:val="32"/>
          <w:lang w:eastAsia="zh-CN"/>
        </w:rPr>
        <w:t>望城区</w:t>
      </w:r>
      <w:r>
        <w:rPr>
          <w:rFonts w:hint="default" w:ascii="Times New Roman" w:hAnsi="Times New Roman" w:eastAsia="仿宋_GB2312" w:cs="Times New Roman"/>
          <w:sz w:val="32"/>
          <w:szCs w:val="32"/>
        </w:rPr>
        <w:t>政务公开政务服务</w:t>
      </w:r>
      <w:r>
        <w:rPr>
          <w:rFonts w:hint="default" w:ascii="Times New Roman" w:hAnsi="Times New Roman" w:eastAsia="仿宋_GB2312" w:cs="Times New Roman"/>
          <w:sz w:val="32"/>
          <w:szCs w:val="32"/>
          <w:lang w:eastAsia="zh-CN"/>
        </w:rPr>
        <w:t>工作</w:t>
      </w:r>
      <w:r>
        <w:rPr>
          <w:rFonts w:hint="default" w:ascii="Times New Roman" w:hAnsi="Times New Roman" w:eastAsia="仿宋_GB2312" w:cs="Times New Roman"/>
          <w:sz w:val="32"/>
          <w:szCs w:val="32"/>
        </w:rPr>
        <w:t>领导小组</w:t>
      </w:r>
      <w:r>
        <w:rPr>
          <w:rFonts w:hint="default" w:ascii="Times New Roman" w:hAnsi="Times New Roman" w:eastAsia="仿宋_GB2312" w:cs="Times New Roman"/>
          <w:sz w:val="32"/>
          <w:szCs w:val="32"/>
          <w:lang w:eastAsia="zh-CN"/>
        </w:rPr>
        <w:t>办公室</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2023年</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日</w:t>
      </w:r>
    </w:p>
    <w:p>
      <w:pPr>
        <w:keepNext w:val="0"/>
        <w:keepLines w:val="0"/>
        <w:pageBreakBefore w:val="0"/>
        <w:widowControl w:val="0"/>
        <w:kinsoku/>
        <w:wordWrap/>
        <w:overflowPunct/>
        <w:topLinePunct w:val="0"/>
        <w:autoSpaceDE/>
        <w:autoSpaceDN/>
        <w:bidi w:val="0"/>
        <w:adjustRightInd/>
        <w:snapToGrid/>
        <w:spacing w:after="157" w:afterLines="50" w:line="640" w:lineRule="exact"/>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after="157" w:afterLines="50" w:line="600" w:lineRule="exact"/>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after="157" w:afterLines="50" w:line="600" w:lineRule="exact"/>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after="157" w:afterLines="50" w:line="600" w:lineRule="exact"/>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after="157" w:afterLines="50" w:line="600" w:lineRule="exact"/>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after="157" w:afterLines="50" w:line="600" w:lineRule="exact"/>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after="157" w:afterLines="50" w:line="600" w:lineRule="exact"/>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after="157" w:afterLines="50" w:line="600" w:lineRule="exact"/>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after="157" w:afterLines="50" w:line="600" w:lineRule="exact"/>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after="157" w:afterLines="50" w:line="600" w:lineRule="exact"/>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after="157" w:afterLines="50" w:line="600" w:lineRule="exact"/>
        <w:textAlignment w:val="auto"/>
        <w:rPr>
          <w:rFonts w:hint="default" w:ascii="Times New Roman" w:hAnsi="Times New Roman" w:eastAsia="黑体" w:cs="Times New Roman"/>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after="157" w:afterLines="50" w:line="600" w:lineRule="exac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1</w:t>
      </w:r>
    </w:p>
    <w:p>
      <w:pPr>
        <w:spacing w:line="600" w:lineRule="exact"/>
        <w:jc w:val="center"/>
        <w:rPr>
          <w:rFonts w:hint="default" w:ascii="Times New Roman" w:hAnsi="Times New Roman" w:eastAsia="方正小标宋简体" w:cs="Times New Roman"/>
          <w:spacing w:val="-23"/>
          <w:sz w:val="44"/>
          <w:szCs w:val="44"/>
          <w:lang w:val="en-US" w:eastAsia="zh-CN"/>
        </w:rPr>
      </w:pPr>
      <w:r>
        <w:rPr>
          <w:rFonts w:hint="default" w:ascii="Times New Roman" w:hAnsi="Times New Roman" w:eastAsia="方正小标宋简体" w:cs="Times New Roman"/>
          <w:spacing w:val="-23"/>
          <w:sz w:val="44"/>
          <w:szCs w:val="44"/>
        </w:rPr>
        <w:t>长沙市基层政务公开专栏信息发布情况统计</w:t>
      </w:r>
      <w:r>
        <w:rPr>
          <w:rFonts w:hint="default" w:ascii="Times New Roman" w:hAnsi="Times New Roman" w:eastAsia="方正小标宋简体" w:cs="Times New Roman"/>
          <w:spacing w:val="-23"/>
          <w:sz w:val="44"/>
          <w:szCs w:val="44"/>
          <w:lang w:val="en-US" w:eastAsia="zh-CN"/>
        </w:rPr>
        <w:t>表</w:t>
      </w:r>
    </w:p>
    <w:p>
      <w:pPr>
        <w:shd w:val="clear"/>
        <w:spacing w:line="600" w:lineRule="exact"/>
        <w:jc w:val="right"/>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截止</w:t>
      </w:r>
      <w:r>
        <w:rPr>
          <w:rFonts w:hint="default" w:ascii="Times New Roman" w:hAnsi="Times New Roman" w:eastAsia="仿宋_GB2312" w:cs="Times New Roman"/>
          <w:sz w:val="32"/>
          <w:szCs w:val="32"/>
          <w:lang w:eastAsia="zh-CN"/>
        </w:rPr>
        <w:t>至</w:t>
      </w:r>
      <w:r>
        <w:rPr>
          <w:rFonts w:hint="default" w:ascii="Times New Roman" w:hAnsi="Times New Roman" w:eastAsia="仿宋_GB2312" w:cs="Times New Roman"/>
          <w:sz w:val="32"/>
          <w:szCs w:val="32"/>
        </w:rPr>
        <w:t>1月</w:t>
      </w:r>
      <w:r>
        <w:rPr>
          <w:rFonts w:hint="default" w:ascii="Times New Roman" w:hAnsi="Times New Roman" w:eastAsia="仿宋_GB2312" w:cs="Times New Roman"/>
          <w:sz w:val="32"/>
          <w:szCs w:val="32"/>
          <w:lang w:val="en-US" w:eastAsia="zh-CN"/>
        </w:rPr>
        <w:t>31</w:t>
      </w:r>
      <w:r>
        <w:rPr>
          <w:rFonts w:hint="default" w:ascii="Times New Roman" w:hAnsi="Times New Roman" w:eastAsia="仿宋_GB2312" w:cs="Times New Roman"/>
          <w:sz w:val="32"/>
          <w:szCs w:val="32"/>
        </w:rPr>
        <w:t>日</w:t>
      </w:r>
      <w:r>
        <w:rPr>
          <w:rFonts w:hint="default" w:ascii="Times New Roman" w:hAnsi="Times New Roman" w:eastAsia="仿宋_GB2312" w:cs="Times New Roman"/>
          <w:sz w:val="32"/>
          <w:szCs w:val="32"/>
          <w:lang w:eastAsia="zh-CN"/>
        </w:rPr>
        <w:t>）</w:t>
      </w:r>
    </w:p>
    <w:tbl>
      <w:tblPr>
        <w:tblStyle w:val="5"/>
        <w:tblW w:w="11126" w:type="dxa"/>
        <w:jc w:val="center"/>
        <w:tblLayout w:type="fixed"/>
        <w:tblCellMar>
          <w:top w:w="0" w:type="dxa"/>
          <w:left w:w="108" w:type="dxa"/>
          <w:bottom w:w="0" w:type="dxa"/>
          <w:right w:w="108" w:type="dxa"/>
        </w:tblCellMar>
      </w:tblPr>
      <w:tblGrid>
        <w:gridCol w:w="2417"/>
        <w:gridCol w:w="705"/>
        <w:gridCol w:w="739"/>
        <w:gridCol w:w="1482"/>
        <w:gridCol w:w="753"/>
        <w:gridCol w:w="728"/>
        <w:gridCol w:w="738"/>
        <w:gridCol w:w="749"/>
        <w:gridCol w:w="739"/>
        <w:gridCol w:w="738"/>
        <w:gridCol w:w="1338"/>
      </w:tblGrid>
      <w:tr>
        <w:tblPrEx>
          <w:tblCellMar>
            <w:top w:w="0" w:type="dxa"/>
            <w:left w:w="108" w:type="dxa"/>
            <w:bottom w:w="0" w:type="dxa"/>
            <w:right w:w="108" w:type="dxa"/>
          </w:tblCellMar>
        </w:tblPrEx>
        <w:trPr>
          <w:trHeight w:val="312" w:hRule="atLeast"/>
          <w:tblHeader/>
          <w:jc w:val="center"/>
        </w:trPr>
        <w:tc>
          <w:tcPr>
            <w:tcW w:w="2417" w:type="dxa"/>
            <w:vMerge w:val="restart"/>
            <w:tcBorders>
              <w:top w:val="single" w:color="000000" w:sz="4" w:space="0"/>
              <w:left w:val="single" w:color="000000" w:sz="4" w:space="0"/>
              <w:bottom w:val="single" w:color="000000" w:sz="4" w:space="0"/>
              <w:right w:val="single" w:color="000000" w:sz="4" w:space="0"/>
              <w:tl2br w:val="single" w:color="000000" w:sz="8" w:space="0"/>
            </w:tcBorders>
            <w:shd w:val="clear" w:color="auto" w:fill="auto"/>
          </w:tcPr>
          <w:p>
            <w:pPr>
              <w:keepNext w:val="0"/>
              <w:keepLines w:val="0"/>
              <w:pageBreakBefore w:val="0"/>
              <w:widowControl/>
              <w:shd w:val="clear"/>
              <w:kinsoku/>
              <w:wordWrap/>
              <w:overflowPunct/>
              <w:topLinePunct w:val="0"/>
              <w:autoSpaceDE/>
              <w:autoSpaceDN/>
              <w:bidi w:val="0"/>
              <w:adjustRightInd/>
              <w:snapToGrid/>
              <w:spacing w:line="320" w:lineRule="exact"/>
              <w:jc w:val="left"/>
              <w:textAlignment w:val="top"/>
              <w:rPr>
                <w:rFonts w:hint="default" w:ascii="Times New Roman" w:hAnsi="Times New Roman" w:eastAsia="仿宋_GB2312" w:cs="Times New Roman"/>
                <w:b/>
                <w:bCs/>
                <w:color w:val="000000"/>
                <w:kern w:val="0"/>
                <w:szCs w:val="21"/>
              </w:rPr>
            </w:pPr>
          </w:p>
          <w:p>
            <w:pPr>
              <w:keepNext w:val="0"/>
              <w:keepLines w:val="0"/>
              <w:pageBreakBefore w:val="0"/>
              <w:widowControl/>
              <w:shd w:val="clear"/>
              <w:kinsoku/>
              <w:wordWrap/>
              <w:overflowPunct/>
              <w:topLinePunct w:val="0"/>
              <w:autoSpaceDE/>
              <w:autoSpaceDN/>
              <w:bidi w:val="0"/>
              <w:adjustRightInd/>
              <w:snapToGrid/>
              <w:spacing w:line="320" w:lineRule="exact"/>
              <w:jc w:val="left"/>
              <w:textAlignment w:val="top"/>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领域名称</w:t>
            </w:r>
            <w:r>
              <w:rPr>
                <w:rFonts w:hint="default" w:ascii="Times New Roman" w:hAnsi="Times New Roman" w:eastAsia="仿宋_GB2312" w:cs="Times New Roman"/>
                <w:b/>
                <w:bCs/>
                <w:color w:val="000000"/>
                <w:kern w:val="0"/>
                <w:szCs w:val="21"/>
                <w:lang w:val="en-US" w:eastAsia="zh-CN"/>
              </w:rPr>
              <w:t xml:space="preserve">     </w:t>
            </w:r>
            <w:r>
              <w:rPr>
                <w:rFonts w:hint="default" w:ascii="Times New Roman" w:hAnsi="Times New Roman" w:eastAsia="仿宋_GB2312" w:cs="Times New Roman"/>
                <w:b/>
                <w:bCs/>
                <w:color w:val="000000"/>
                <w:kern w:val="0"/>
                <w:szCs w:val="21"/>
              </w:rPr>
              <w:br w:type="textWrapping"/>
            </w: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芙</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蓉</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区</w:t>
            </w:r>
          </w:p>
        </w:tc>
        <w:tc>
          <w:tcPr>
            <w:tcW w:w="73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天</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心</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区</w:t>
            </w:r>
          </w:p>
        </w:tc>
        <w:tc>
          <w:tcPr>
            <w:tcW w:w="148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lang w:val="en-US" w:eastAsia="zh-CN"/>
                <w14:textFill>
                  <w14:solidFill>
                    <w14:schemeClr w14:val="tx1"/>
                  </w14:solidFill>
                </w14:textFill>
              </w:rPr>
            </w:pPr>
            <w:r>
              <w:rPr>
                <w:rFonts w:hint="default" w:ascii="Times New Roman" w:hAnsi="Times New Roman" w:eastAsia="仿宋_GB2312" w:cs="Times New Roman"/>
                <w:b/>
                <w:bCs/>
                <w:color w:val="000000" w:themeColor="text1"/>
                <w:kern w:val="0"/>
                <w:szCs w:val="21"/>
                <w:lang w:val="en-US" w:eastAsia="zh-CN"/>
                <w14:textFill>
                  <w14:solidFill>
                    <w14:schemeClr w14:val="tx1"/>
                  </w14:solidFill>
                </w14:textFill>
              </w:rPr>
              <w:t>湘江新区</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lang w:val="en-US" w:eastAsia="zh-CN"/>
                <w14:textFill>
                  <w14:solidFill>
                    <w14:schemeClr w14:val="tx1"/>
                  </w14:solidFill>
                </w14:textFill>
              </w:rPr>
              <w:t>（</w:t>
            </w:r>
            <w:r>
              <w:rPr>
                <w:rFonts w:hint="default" w:ascii="Times New Roman" w:hAnsi="Times New Roman" w:eastAsia="仿宋_GB2312" w:cs="Times New Roman"/>
                <w:b/>
                <w:bCs/>
                <w:color w:val="000000" w:themeColor="text1"/>
                <w:kern w:val="0"/>
                <w:szCs w:val="21"/>
                <w14:textFill>
                  <w14:solidFill>
                    <w14:schemeClr w14:val="tx1"/>
                  </w14:solidFill>
                </w14:textFill>
              </w:rPr>
              <w:t>岳麓区</w:t>
            </w:r>
            <w:r>
              <w:rPr>
                <w:rFonts w:hint="default" w:ascii="Times New Roman" w:hAnsi="Times New Roman" w:eastAsia="仿宋_GB2312" w:cs="Times New Roman"/>
                <w:b/>
                <w:bCs/>
                <w:color w:val="000000" w:themeColor="text1"/>
                <w:kern w:val="0"/>
                <w:szCs w:val="21"/>
                <w:lang w:val="en-US" w:eastAsia="zh-CN"/>
                <w14:textFill>
                  <w14:solidFill>
                    <w14:schemeClr w14:val="tx1"/>
                  </w14:solidFill>
                </w14:textFill>
              </w:rPr>
              <w:t>）</w:t>
            </w:r>
          </w:p>
        </w:tc>
        <w:tc>
          <w:tcPr>
            <w:tcW w:w="75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开</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福</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区</w:t>
            </w:r>
          </w:p>
        </w:tc>
        <w:tc>
          <w:tcPr>
            <w:tcW w:w="72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雨</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花</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区</w:t>
            </w:r>
          </w:p>
        </w:tc>
        <w:tc>
          <w:tcPr>
            <w:tcW w:w="7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望</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城</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区</w:t>
            </w:r>
          </w:p>
        </w:tc>
        <w:tc>
          <w:tcPr>
            <w:tcW w:w="74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长</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沙</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县</w:t>
            </w:r>
          </w:p>
        </w:tc>
        <w:tc>
          <w:tcPr>
            <w:tcW w:w="73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浏</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阳</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市</w:t>
            </w:r>
          </w:p>
        </w:tc>
        <w:tc>
          <w:tcPr>
            <w:tcW w:w="73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宁</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乡</w:t>
            </w:r>
          </w:p>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szCs w:val="21"/>
                <w14:textFill>
                  <w14:solidFill>
                    <w14:schemeClr w14:val="tx1"/>
                  </w14:solidFill>
                </w14:textFill>
              </w:rPr>
            </w:pPr>
            <w:r>
              <w:rPr>
                <w:rFonts w:hint="default" w:ascii="Times New Roman" w:hAnsi="Times New Roman" w:eastAsia="仿宋_GB2312" w:cs="Times New Roman"/>
                <w:b/>
                <w:bCs/>
                <w:color w:val="000000" w:themeColor="text1"/>
                <w:kern w:val="0"/>
                <w:szCs w:val="21"/>
                <w14:textFill>
                  <w14:solidFill>
                    <w14:schemeClr w14:val="tx1"/>
                  </w14:solidFill>
                </w14:textFill>
              </w:rPr>
              <w:t>市</w:t>
            </w:r>
          </w:p>
        </w:tc>
        <w:tc>
          <w:tcPr>
            <w:tcW w:w="133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lang w:eastAsia="zh-CN"/>
              </w:rPr>
              <w:t>信息</w:t>
            </w:r>
            <w:r>
              <w:rPr>
                <w:rFonts w:hint="default" w:ascii="Times New Roman" w:hAnsi="Times New Roman" w:eastAsia="仿宋_GB2312" w:cs="Times New Roman"/>
                <w:b/>
                <w:bCs/>
                <w:color w:val="000000"/>
                <w:kern w:val="0"/>
                <w:szCs w:val="21"/>
              </w:rPr>
              <w:t>发布量最少</w:t>
            </w:r>
          </w:p>
        </w:tc>
      </w:tr>
      <w:tr>
        <w:tblPrEx>
          <w:tblCellMar>
            <w:top w:w="0" w:type="dxa"/>
            <w:left w:w="108" w:type="dxa"/>
            <w:bottom w:w="0" w:type="dxa"/>
            <w:right w:w="108" w:type="dxa"/>
          </w:tblCellMar>
        </w:tblPrEx>
        <w:trPr>
          <w:trHeight w:val="312" w:hRule="atLeast"/>
          <w:tblHeader/>
          <w:jc w:val="center"/>
        </w:trPr>
        <w:tc>
          <w:tcPr>
            <w:tcW w:w="2417" w:type="dxa"/>
            <w:vMerge w:val="continue"/>
            <w:tcBorders>
              <w:top w:val="single" w:color="000000" w:sz="4" w:space="0"/>
              <w:left w:val="single" w:color="000000" w:sz="4" w:space="0"/>
              <w:bottom w:val="single" w:color="000000" w:sz="4" w:space="0"/>
              <w:right w:val="single" w:color="000000" w:sz="4" w:space="0"/>
              <w:tl2br w:val="single" w:color="000000" w:sz="8" w:space="0"/>
            </w:tcBorders>
            <w:shd w:val="clear" w:color="auto" w:fill="auto"/>
          </w:tcPr>
          <w:p>
            <w:pPr>
              <w:keepNext w:val="0"/>
              <w:keepLines w:val="0"/>
              <w:pageBreakBefore w:val="0"/>
              <w:shd w:val="clear"/>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b/>
                <w:bCs/>
                <w:color w:val="000000"/>
                <w:szCs w:val="21"/>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shd w:val="clear"/>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color w:val="000000"/>
                <w:szCs w:val="21"/>
              </w:rPr>
            </w:pPr>
          </w:p>
        </w:tc>
        <w:tc>
          <w:tcPr>
            <w:tcW w:w="73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shd w:val="clear"/>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color w:val="000000"/>
                <w:szCs w:val="21"/>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shd w:val="clear"/>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color w:val="0070C0"/>
                <w:szCs w:val="21"/>
              </w:rPr>
            </w:pPr>
          </w:p>
        </w:tc>
        <w:tc>
          <w:tcPr>
            <w:tcW w:w="75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shd w:val="clear"/>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color w:val="000000"/>
                <w:szCs w:val="21"/>
              </w:rPr>
            </w:pPr>
          </w:p>
        </w:tc>
        <w:tc>
          <w:tcPr>
            <w:tcW w:w="7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shd w:val="clear"/>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color w:val="4472C4" w:themeColor="accent5"/>
                <w:szCs w:val="21"/>
                <w14:textFill>
                  <w14:solidFill>
                    <w14:schemeClr w14:val="accent5"/>
                  </w14:solidFill>
                </w14:textFill>
              </w:rPr>
            </w:pPr>
          </w:p>
        </w:tc>
        <w:tc>
          <w:tcPr>
            <w:tcW w:w="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shd w:val="clear"/>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color w:val="0000FF"/>
                <w:szCs w:val="21"/>
              </w:rPr>
            </w:pPr>
          </w:p>
        </w:tc>
        <w:tc>
          <w:tcPr>
            <w:tcW w:w="74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shd w:val="clear"/>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color w:val="0070C0"/>
                <w:szCs w:val="21"/>
              </w:rPr>
            </w:pPr>
          </w:p>
        </w:tc>
        <w:tc>
          <w:tcPr>
            <w:tcW w:w="73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shd w:val="clear"/>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color w:val="4472C4" w:themeColor="accent5"/>
                <w:szCs w:val="21"/>
                <w14:textFill>
                  <w14:solidFill>
                    <w14:schemeClr w14:val="accent5"/>
                  </w14:solidFill>
                </w14:textFill>
              </w:rPr>
            </w:pPr>
          </w:p>
        </w:tc>
        <w:tc>
          <w:tcPr>
            <w:tcW w:w="73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shd w:val="clear"/>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color w:val="000000"/>
                <w:szCs w:val="21"/>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shd w:val="clear"/>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color w:val="000000"/>
                <w:szCs w:val="21"/>
              </w:rPr>
            </w:pP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重大建设项目</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29</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8</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29</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7</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13</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68</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21</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175</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53</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开福区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公共资源交易</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22</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43</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16</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25</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13</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15</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36</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雨花区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财政预决算</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4</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shd w:val="clear"/>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安全生产</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14</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15</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75</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71</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69</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66</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44</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54</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207</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芙蓉区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税收管理</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27</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12</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116</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27</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13</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18</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16</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32</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15</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天心区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国有土地上房屋征收与补偿</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20</w:t>
            </w:r>
          </w:p>
        </w:tc>
        <w:tc>
          <w:tcPr>
            <w:tcW w:w="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6</w:t>
            </w:r>
          </w:p>
        </w:tc>
        <w:tc>
          <w:tcPr>
            <w:tcW w:w="14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30</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16</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14</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12</w:t>
            </w:r>
          </w:p>
        </w:tc>
        <w:tc>
          <w:tcPr>
            <w:tcW w:w="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12</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望城区</w:t>
            </w:r>
          </w:p>
        </w:tc>
      </w:tr>
      <w:tr>
        <w:tblPrEx>
          <w:tblCellMar>
            <w:top w:w="0" w:type="dxa"/>
            <w:left w:w="108" w:type="dxa"/>
            <w:bottom w:w="0" w:type="dxa"/>
            <w:right w:w="108" w:type="dxa"/>
          </w:tblCellMar>
        </w:tblPrEx>
        <w:trPr>
          <w:trHeight w:val="364"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保障性住房</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12</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7</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24</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58</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12</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42</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14</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87</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天心区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农村危房改造</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15</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13</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12</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8</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16</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17</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9</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36</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芙蓉区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生态环境</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11</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7</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42</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18</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19</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11</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28</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芙蓉区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公共文化</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21</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19</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47</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41</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140</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68</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38</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139</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雨花区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公共法律</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23</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19</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47</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37</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44</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55</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25</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11</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40</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浏阳市</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救灾</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3</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26</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27</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95</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29</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28</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35</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38</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40</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芙蓉区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食品药品监管</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21</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34</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373</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51</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45</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414</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22</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326</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112</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芙蓉区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城市综合执法</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179</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370</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122</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927</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1555</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3092</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2108</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1146</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天心区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就业创业</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12</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23</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24</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25</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16</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23</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63</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雨花区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社会保险</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49</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26</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42</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56</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55</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58</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95</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雨花区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社会救助</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16</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25</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39</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12</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23</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24</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19</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27</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themeColor="text1"/>
                <w:kern w:val="0"/>
                <w:szCs w:val="21"/>
                <w:lang w:val="en-US" w:eastAsia="zh-CN"/>
                <w14:textFill>
                  <w14:solidFill>
                    <w14:schemeClr w14:val="tx1"/>
                  </w14:solidFill>
                </w14:textFill>
              </w:rPr>
            </w:pPr>
            <w:r>
              <w:rPr>
                <w:rFonts w:hint="default" w:ascii="Times New Roman" w:hAnsi="Times New Roman" w:eastAsia="仿宋_GB2312" w:cs="Times New Roman"/>
                <w:b/>
                <w:bCs/>
                <w:color w:val="000000" w:themeColor="text1"/>
                <w:kern w:val="0"/>
                <w:szCs w:val="21"/>
                <w:lang w:val="en-US" w:eastAsia="zh-CN"/>
                <w14:textFill>
                  <w14:solidFill>
                    <w14:schemeClr w14:val="tx1"/>
                  </w14:solidFill>
                </w14:textFill>
              </w:rPr>
              <w:t>湘江新区</w:t>
            </w:r>
          </w:p>
          <w:p>
            <w:pPr>
              <w:keepNext w:val="0"/>
              <w:keepLines w:val="0"/>
              <w:pageBreakBefore w:val="0"/>
              <w:widowControl/>
              <w:shd w:val="clear"/>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themeColor="text1"/>
                <w:kern w:val="0"/>
                <w:szCs w:val="21"/>
                <w:lang w:val="en-US" w:eastAsia="zh-CN"/>
                <w14:textFill>
                  <w14:solidFill>
                    <w14:schemeClr w14:val="tx1"/>
                  </w14:solidFill>
                </w14:textFill>
              </w:rPr>
              <w:t>（</w:t>
            </w:r>
            <w:r>
              <w:rPr>
                <w:rFonts w:hint="default" w:ascii="Times New Roman" w:hAnsi="Times New Roman" w:eastAsia="仿宋_GB2312" w:cs="Times New Roman"/>
                <w:b/>
                <w:bCs/>
                <w:color w:val="000000" w:themeColor="text1"/>
                <w:kern w:val="0"/>
                <w:szCs w:val="21"/>
                <w14:textFill>
                  <w14:solidFill>
                    <w14:schemeClr w14:val="tx1"/>
                  </w14:solidFill>
                </w14:textFill>
              </w:rPr>
              <w:t>岳麓区</w:t>
            </w:r>
            <w:r>
              <w:rPr>
                <w:rFonts w:hint="default" w:ascii="Times New Roman" w:hAnsi="Times New Roman" w:eastAsia="仿宋_GB2312" w:cs="Times New Roman"/>
                <w:b/>
                <w:bCs/>
                <w:color w:val="000000" w:themeColor="text1"/>
                <w:kern w:val="0"/>
                <w:szCs w:val="21"/>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养老服务</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5</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13</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14</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20</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13</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14</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19</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16</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19</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芙蓉区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户籍管理</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24</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7</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38</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19</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21</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16</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13</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18</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雨花区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涉农补贴</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12</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3</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8</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18</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7</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szCs w:val="21"/>
              </w:rPr>
              <w:t>9</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25</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14</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雨花区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义务教育</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39</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68</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159</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132</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92</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139</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58</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103</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192</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芙蓉区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卫生健康</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140</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159</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215</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47</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44</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531</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188</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470</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雨花区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市政服务</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7</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6</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9</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13</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10</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21</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18</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交通运输</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3</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12</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9</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13</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8</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8</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天心区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广播电视</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0</w:t>
            </w:r>
          </w:p>
        </w:tc>
        <w:tc>
          <w:tcPr>
            <w:tcW w:w="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0</w:t>
            </w:r>
          </w:p>
        </w:tc>
        <w:tc>
          <w:tcPr>
            <w:tcW w:w="14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33</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64</w:t>
            </w:r>
          </w:p>
        </w:tc>
        <w:tc>
          <w:tcPr>
            <w:tcW w:w="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68</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63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望城区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统计领域</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45</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40</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36</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20</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38</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38</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43</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41</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40</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开福区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新闻出版版权</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8</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8</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7</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6</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shd w:val="clear"/>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旅游</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12</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5</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12</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17</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17</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29</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14</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26</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天心区</w:t>
            </w:r>
          </w:p>
        </w:tc>
      </w:tr>
      <w:tr>
        <w:tblPrEx>
          <w:tblCellMar>
            <w:top w:w="0" w:type="dxa"/>
            <w:left w:w="108" w:type="dxa"/>
            <w:bottom w:w="0" w:type="dxa"/>
            <w:right w:w="108" w:type="dxa"/>
          </w:tblCellMar>
        </w:tblPrEx>
        <w:trPr>
          <w:trHeight w:val="23" w:hRule="atLeast"/>
          <w:jc w:val="center"/>
        </w:trPr>
        <w:tc>
          <w:tcPr>
            <w:tcW w:w="24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kern w:val="0"/>
                <w:szCs w:val="21"/>
              </w:rPr>
              <w:t>自然资源</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3</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20</w:t>
            </w:r>
          </w:p>
        </w:tc>
        <w:tc>
          <w:tcPr>
            <w:tcW w:w="14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26</w:t>
            </w:r>
          </w:p>
        </w:tc>
        <w:tc>
          <w:tcPr>
            <w:tcW w:w="72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8</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27</w:t>
            </w:r>
          </w:p>
        </w:tc>
        <w:tc>
          <w:tcPr>
            <w:tcW w:w="7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rPr>
              <w:t>24</w:t>
            </w:r>
          </w:p>
        </w:tc>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w:t>
            </w:r>
          </w:p>
        </w:tc>
        <w:tc>
          <w:tcPr>
            <w:tcW w:w="7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63</w:t>
            </w:r>
          </w:p>
        </w:tc>
        <w:tc>
          <w:tcPr>
            <w:tcW w:w="13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hd w:val="clear"/>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color w:val="000000"/>
                <w:kern w:val="0"/>
                <w:szCs w:val="21"/>
              </w:rPr>
            </w:pPr>
            <w:r>
              <w:rPr>
                <w:rFonts w:hint="default" w:ascii="Times New Roman" w:hAnsi="Times New Roman" w:eastAsia="仿宋_GB2312" w:cs="Times New Roman"/>
                <w:b/>
                <w:bCs/>
                <w:color w:val="000000"/>
                <w:kern w:val="0"/>
                <w:szCs w:val="21"/>
              </w:rPr>
              <w:t>芙蓉区</w:t>
            </w:r>
          </w:p>
        </w:tc>
      </w:tr>
    </w:tbl>
    <w:p>
      <w:pPr>
        <w:pStyle w:val="3"/>
        <w:ind w:left="0" w:leftChars="0" w:firstLine="0" w:firstLineChars="0"/>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after="157" w:afterLines="50" w:line="600" w:lineRule="exac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after="157" w:afterLines="50" w:line="600" w:lineRule="exact"/>
        <w:jc w:val="center"/>
        <w:textAlignment w:val="auto"/>
        <w:rPr>
          <w:rFonts w:hint="default" w:ascii="Times New Roman" w:hAnsi="Times New Roman" w:eastAsia="方正小标宋简体" w:cs="Times New Roman"/>
          <w:spacing w:val="-23"/>
          <w:sz w:val="44"/>
          <w:szCs w:val="44"/>
          <w:lang w:val="en-US" w:eastAsia="zh-CN"/>
        </w:rPr>
      </w:pPr>
      <w:r>
        <w:rPr>
          <w:rFonts w:hint="default" w:ascii="Times New Roman" w:hAnsi="Times New Roman" w:eastAsia="方正小标宋简体" w:cs="Times New Roman"/>
          <w:spacing w:val="-23"/>
          <w:sz w:val="44"/>
          <w:szCs w:val="44"/>
        </w:rPr>
        <w:t>长沙市基层政务公开专栏信息发布情况</w:t>
      </w:r>
      <w:r>
        <w:rPr>
          <w:rFonts w:hint="default" w:ascii="Times New Roman" w:hAnsi="Times New Roman" w:eastAsia="方正小标宋简体" w:cs="Times New Roman"/>
          <w:spacing w:val="-23"/>
          <w:sz w:val="44"/>
          <w:szCs w:val="44"/>
          <w:lang w:eastAsia="zh-CN"/>
        </w:rPr>
        <w:t>对比</w:t>
      </w:r>
      <w:r>
        <w:rPr>
          <w:rFonts w:hint="default" w:ascii="Times New Roman" w:hAnsi="Times New Roman" w:eastAsia="方正小标宋简体" w:cs="Times New Roman"/>
          <w:spacing w:val="-23"/>
          <w:sz w:val="44"/>
          <w:szCs w:val="44"/>
          <w:lang w:val="en-US" w:eastAsia="zh-CN"/>
        </w:rPr>
        <w:t>表</w:t>
      </w:r>
    </w:p>
    <w:tbl>
      <w:tblPr>
        <w:tblStyle w:val="5"/>
        <w:tblW w:w="91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72"/>
        <w:gridCol w:w="1860"/>
        <w:gridCol w:w="1860"/>
        <w:gridCol w:w="186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sz w:val="21"/>
                <w:szCs w:val="21"/>
                <w:u w:val="none"/>
              </w:rPr>
            </w:pPr>
          </w:p>
        </w:tc>
        <w:tc>
          <w:tcPr>
            <w:tcW w:w="18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栏目名称</w:t>
            </w:r>
          </w:p>
        </w:tc>
        <w:tc>
          <w:tcPr>
            <w:tcW w:w="18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政务服务事项</w:t>
            </w:r>
          </w:p>
        </w:tc>
        <w:tc>
          <w:tcPr>
            <w:tcW w:w="18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非政务服务事项</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芙蓉区</w:t>
            </w:r>
          </w:p>
        </w:tc>
        <w:tc>
          <w:tcPr>
            <w:tcW w:w="18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旧专栏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915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469</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1384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新专栏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564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195</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天心区</w:t>
            </w:r>
          </w:p>
        </w:tc>
        <w:tc>
          <w:tcPr>
            <w:tcW w:w="18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旧专栏</w:t>
            </w:r>
          </w:p>
        </w:tc>
        <w:tc>
          <w:tcPr>
            <w:tcW w:w="18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2511</w:t>
            </w:r>
          </w:p>
        </w:tc>
        <w:tc>
          <w:tcPr>
            <w:tcW w:w="18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631</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3142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新专栏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310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color w:val="000000" w:themeColor="text1"/>
                <w:kern w:val="0"/>
                <w:szCs w:val="21"/>
                <w:lang w:val="en-US" w:eastAsia="zh-CN"/>
                <w14:textFill>
                  <w14:solidFill>
                    <w14:schemeClr w14:val="tx1"/>
                  </w14:solidFill>
                </w14:textFill>
              </w:rPr>
            </w:pPr>
            <w:r>
              <w:rPr>
                <w:rFonts w:hint="default" w:ascii="Times New Roman" w:hAnsi="Times New Roman" w:eastAsia="仿宋_GB2312" w:cs="Times New Roman"/>
                <w:b/>
                <w:bCs/>
                <w:color w:val="000000" w:themeColor="text1"/>
                <w:kern w:val="0"/>
                <w:szCs w:val="21"/>
                <w:lang w:val="en-US" w:eastAsia="zh-CN"/>
                <w14:textFill>
                  <w14:solidFill>
                    <w14:schemeClr w14:val="tx1"/>
                  </w14:solidFill>
                </w14:textFill>
              </w:rPr>
              <w:t>湘江新区</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color w:val="000000" w:themeColor="text1"/>
                <w:kern w:val="0"/>
                <w:szCs w:val="21"/>
                <w:lang w:val="en-US" w:eastAsia="zh-CN"/>
                <w14:textFill>
                  <w14:solidFill>
                    <w14:schemeClr w14:val="tx1"/>
                  </w14:solidFill>
                </w14:textFill>
              </w:rPr>
              <w:t>（</w:t>
            </w:r>
            <w:r>
              <w:rPr>
                <w:rFonts w:hint="default" w:ascii="Times New Roman" w:hAnsi="Times New Roman" w:eastAsia="仿宋_GB2312" w:cs="Times New Roman"/>
                <w:b/>
                <w:bCs/>
                <w:color w:val="000000" w:themeColor="text1"/>
                <w:kern w:val="0"/>
                <w:szCs w:val="21"/>
                <w14:textFill>
                  <w14:solidFill>
                    <w14:schemeClr w14:val="tx1"/>
                  </w14:solidFill>
                </w14:textFill>
              </w:rPr>
              <w:t>岳麓区</w:t>
            </w:r>
            <w:r>
              <w:rPr>
                <w:rFonts w:hint="default" w:ascii="Times New Roman" w:hAnsi="Times New Roman" w:eastAsia="仿宋_GB2312" w:cs="Times New Roman"/>
                <w:b/>
                <w:bCs/>
                <w:color w:val="000000" w:themeColor="text1"/>
                <w:kern w:val="0"/>
                <w:szCs w:val="21"/>
                <w:lang w:val="en-US" w:eastAsia="zh-CN"/>
                <w14:textFill>
                  <w14:solidFill>
                    <w14:schemeClr w14:val="tx1"/>
                  </w14:solidFill>
                </w14:textFill>
              </w:rPr>
              <w:t>）</w:t>
            </w:r>
          </w:p>
        </w:tc>
        <w:tc>
          <w:tcPr>
            <w:tcW w:w="18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旧专栏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2505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1851</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4356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新专栏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1345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449</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1794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开福区</w:t>
            </w:r>
          </w:p>
        </w:tc>
        <w:tc>
          <w:tcPr>
            <w:tcW w:w="18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旧专栏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229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2294</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2523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新专栏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177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886</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1063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雨花区</w:t>
            </w:r>
          </w:p>
        </w:tc>
        <w:tc>
          <w:tcPr>
            <w:tcW w:w="18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旧专栏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1441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520</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1961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新专栏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1179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276</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1455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望城区</w:t>
            </w:r>
          </w:p>
        </w:tc>
        <w:tc>
          <w:tcPr>
            <w:tcW w:w="18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旧专栏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4860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766</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5626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新专栏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2487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440</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2927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长沙县</w:t>
            </w:r>
          </w:p>
        </w:tc>
        <w:tc>
          <w:tcPr>
            <w:tcW w:w="18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旧专栏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4326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877</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5203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新专栏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3948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477</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4425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浏阳市</w:t>
            </w:r>
          </w:p>
        </w:tc>
        <w:tc>
          <w:tcPr>
            <w:tcW w:w="18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旧专栏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4429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1700</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6129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新专栏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2830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692</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3522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宁乡市</w:t>
            </w:r>
          </w:p>
        </w:tc>
        <w:tc>
          <w:tcPr>
            <w:tcW w:w="18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旧专栏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4979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2093</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7072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default" w:ascii="Times New Roman" w:hAnsi="Times New Roman" w:eastAsia="仿宋_GB2312" w:cs="Times New Roman"/>
                <w:b/>
                <w:bCs/>
                <w:i w:val="0"/>
                <w:iCs w:val="0"/>
                <w:color w:val="000000"/>
                <w:sz w:val="21"/>
                <w:szCs w:val="21"/>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新专栏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2632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821</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 w:cs="Times New Roman"/>
                <w:b w:val="0"/>
                <w:bCs w:val="0"/>
                <w:i w:val="0"/>
                <w:iCs w:val="0"/>
                <w:color w:val="000000"/>
                <w:sz w:val="21"/>
                <w:szCs w:val="21"/>
                <w:u w:val="none"/>
              </w:rPr>
            </w:pPr>
            <w:r>
              <w:rPr>
                <w:rFonts w:hint="default" w:ascii="Times New Roman" w:hAnsi="Times New Roman" w:eastAsia="仿宋" w:cs="Times New Roman"/>
                <w:b w:val="0"/>
                <w:bCs w:val="0"/>
                <w:i w:val="0"/>
                <w:iCs w:val="0"/>
                <w:color w:val="000000"/>
                <w:kern w:val="0"/>
                <w:sz w:val="21"/>
                <w:szCs w:val="21"/>
                <w:u w:val="none"/>
                <w:lang w:val="en-US" w:eastAsia="zh-CN" w:bidi="ar"/>
              </w:rPr>
              <w:t>3453</w:t>
            </w:r>
          </w:p>
        </w:tc>
      </w:tr>
    </w:tbl>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注：旧专栏统计数量包含乡镇（街道）数据。</w:t>
      </w:r>
    </w:p>
    <w:p>
      <w:pPr>
        <w:rPr>
          <w:rFonts w:hint="eastAsia" w:ascii="Times New Roman" w:hAnsi="Times New Roman" w:eastAsia="宋体" w:cs="Times New Roman"/>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iMTEyYTY2ZTdhYzc1NDYwZGFhMjk2MGYyZjcyMWQifQ=="/>
  </w:docVars>
  <w:rsids>
    <w:rsidRoot w:val="2D965222"/>
    <w:rsid w:val="00FB6210"/>
    <w:rsid w:val="01283F01"/>
    <w:rsid w:val="0152510E"/>
    <w:rsid w:val="0232756A"/>
    <w:rsid w:val="03D43F5D"/>
    <w:rsid w:val="07482F4A"/>
    <w:rsid w:val="07975631"/>
    <w:rsid w:val="07DC518D"/>
    <w:rsid w:val="0A48733A"/>
    <w:rsid w:val="0A672D5E"/>
    <w:rsid w:val="0F8E3CC8"/>
    <w:rsid w:val="110608B5"/>
    <w:rsid w:val="11F4043B"/>
    <w:rsid w:val="13A14717"/>
    <w:rsid w:val="13B84851"/>
    <w:rsid w:val="150065E0"/>
    <w:rsid w:val="166B6F80"/>
    <w:rsid w:val="178B4843"/>
    <w:rsid w:val="19EA16AB"/>
    <w:rsid w:val="1A531533"/>
    <w:rsid w:val="1AD80E73"/>
    <w:rsid w:val="1D8976E5"/>
    <w:rsid w:val="1E161539"/>
    <w:rsid w:val="21B62023"/>
    <w:rsid w:val="287C4926"/>
    <w:rsid w:val="28E813F0"/>
    <w:rsid w:val="29AB3274"/>
    <w:rsid w:val="2A455CE3"/>
    <w:rsid w:val="2D965222"/>
    <w:rsid w:val="33DC2696"/>
    <w:rsid w:val="35414431"/>
    <w:rsid w:val="35A101FA"/>
    <w:rsid w:val="37D8413D"/>
    <w:rsid w:val="38174086"/>
    <w:rsid w:val="395656E8"/>
    <w:rsid w:val="39DE1ADC"/>
    <w:rsid w:val="3A4B0C3C"/>
    <w:rsid w:val="3A867AED"/>
    <w:rsid w:val="3A9E163A"/>
    <w:rsid w:val="3C275E2C"/>
    <w:rsid w:val="3C921F82"/>
    <w:rsid w:val="3D7E4D4F"/>
    <w:rsid w:val="40EF002E"/>
    <w:rsid w:val="42B45D29"/>
    <w:rsid w:val="43473B2F"/>
    <w:rsid w:val="43674ECE"/>
    <w:rsid w:val="43AA70B0"/>
    <w:rsid w:val="444037D0"/>
    <w:rsid w:val="482E2F43"/>
    <w:rsid w:val="48AC4BD3"/>
    <w:rsid w:val="48B02995"/>
    <w:rsid w:val="493C64F2"/>
    <w:rsid w:val="49FC513E"/>
    <w:rsid w:val="4A0124FD"/>
    <w:rsid w:val="4B470775"/>
    <w:rsid w:val="4C301179"/>
    <w:rsid w:val="4D084F39"/>
    <w:rsid w:val="50FB0D11"/>
    <w:rsid w:val="513D1C00"/>
    <w:rsid w:val="526C2F04"/>
    <w:rsid w:val="53757370"/>
    <w:rsid w:val="57057CB5"/>
    <w:rsid w:val="57984A44"/>
    <w:rsid w:val="57AF1881"/>
    <w:rsid w:val="585D009A"/>
    <w:rsid w:val="5B51474B"/>
    <w:rsid w:val="60097391"/>
    <w:rsid w:val="601043A1"/>
    <w:rsid w:val="60AF3032"/>
    <w:rsid w:val="61100D3C"/>
    <w:rsid w:val="678D345F"/>
    <w:rsid w:val="686F6B6E"/>
    <w:rsid w:val="6DE35677"/>
    <w:rsid w:val="6E81336F"/>
    <w:rsid w:val="6E970808"/>
    <w:rsid w:val="6FE969D6"/>
    <w:rsid w:val="70506FB5"/>
    <w:rsid w:val="72BF4CA4"/>
    <w:rsid w:val="73712F85"/>
    <w:rsid w:val="75141B1E"/>
    <w:rsid w:val="7B9E3741"/>
    <w:rsid w:val="7C2454EE"/>
    <w:rsid w:val="7CB410B8"/>
    <w:rsid w:val="7EBD29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lock Text"/>
    <w:basedOn w:val="1"/>
    <w:unhideWhenUsed/>
    <w:qFormat/>
    <w:uiPriority w:val="99"/>
    <w:pPr>
      <w:spacing w:after="120"/>
      <w:ind w:left="1440" w:leftChars="700" w:right="1440" w:rightChars="700"/>
    </w:pPr>
  </w:style>
  <w:style w:type="paragraph" w:styleId="3">
    <w:name w:val="Body Text"/>
    <w:qFormat/>
    <w:uiPriority w:val="99"/>
    <w:pPr>
      <w:widowControl w:val="0"/>
      <w:spacing w:after="120" w:line="360" w:lineRule="auto"/>
      <w:ind w:firstLine="480" w:firstLineChars="200"/>
      <w:jc w:val="both"/>
    </w:pPr>
    <w:rPr>
      <w:rFonts w:ascii="Calibri" w:hAnsi="Calibri" w:eastAsia="华文仿宋" w:cstheme="minorBidi"/>
      <w:kern w:val="2"/>
      <w:sz w:val="30"/>
      <w:szCs w:val="24"/>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1770</Words>
  <Characters>2154</Characters>
  <Lines>0</Lines>
  <Paragraphs>0</Paragraphs>
  <TotalTime>6</TotalTime>
  <ScaleCrop>false</ScaleCrop>
  <LinksUpToDate>false</LinksUpToDate>
  <CharactersWithSpaces>2175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2023-02-03T03:25:00Z</dcterms:created>
  <dc:creator>Admin</dc:creator>
  <cp:lastModifiedBy>莉莉</cp:lastModifiedBy>
  <cp:lastPrinted>2023-02-08T09:03:55Z</cp:lastPrinted>
  <dcterms:modified xsi:type="dcterms:W3CDTF">2023-02-08T09:04:17Z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FE2EA4A8E65E45C39603E742BCE16F4C</vt:lpwstr>
  </property>
</Properties>
</file>