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C3E" w:rsidRDefault="00695C3E">
      <w:pPr>
        <w:spacing w:line="620" w:lineRule="exact"/>
        <w:rPr>
          <w:rFonts w:ascii="黑体" w:eastAsia="黑体" w:hAnsi="黑体" w:cs="黑体"/>
        </w:rPr>
      </w:pPr>
    </w:p>
    <w:tbl>
      <w:tblPr>
        <w:tblW w:w="9075" w:type="dxa"/>
        <w:jc w:val="center"/>
        <w:tblLayout w:type="fixed"/>
        <w:tblLook w:val="04A0"/>
      </w:tblPr>
      <w:tblGrid>
        <w:gridCol w:w="587"/>
        <w:gridCol w:w="979"/>
        <w:gridCol w:w="1111"/>
        <w:gridCol w:w="729"/>
        <w:gridCol w:w="1133"/>
        <w:gridCol w:w="284"/>
        <w:gridCol w:w="850"/>
        <w:gridCol w:w="851"/>
        <w:gridCol w:w="283"/>
        <w:gridCol w:w="284"/>
        <w:gridCol w:w="425"/>
        <w:gridCol w:w="240"/>
        <w:gridCol w:w="611"/>
        <w:gridCol w:w="708"/>
      </w:tblGrid>
      <w:tr w:rsidR="00695C3E">
        <w:trPr>
          <w:trHeight w:val="771"/>
          <w:jc w:val="center"/>
        </w:trPr>
        <w:tc>
          <w:tcPr>
            <w:tcW w:w="9075" w:type="dxa"/>
            <w:gridSpan w:val="14"/>
            <w:vAlign w:val="center"/>
          </w:tcPr>
          <w:p w:rsidR="00695C3E" w:rsidRDefault="00987F5C">
            <w:pPr>
              <w:jc w:val="center"/>
              <w:rPr>
                <w:rFonts w:ascii="宋体" w:eastAsia="宋体" w:hAnsi="宋体" w:cs="宋体"/>
                <w:b/>
                <w:bCs/>
                <w:sz w:val="32"/>
                <w:szCs w:val="32"/>
              </w:rPr>
            </w:pPr>
            <w:r>
              <w:rPr>
                <w:rFonts w:ascii="仿宋" w:eastAsia="仿宋" w:hAnsi="仿宋" w:cs="仿宋" w:hint="eastAsia"/>
                <w:sz w:val="36"/>
                <w:szCs w:val="36"/>
              </w:rPr>
              <w:t>2019</w:t>
            </w:r>
            <w:r>
              <w:rPr>
                <w:rFonts w:ascii="方正小标宋_GBK" w:eastAsia="方正小标宋_GBK" w:hAnsi="方正小标宋_GBK" w:cs="方正小标宋_GBK" w:hint="eastAsia"/>
                <w:sz w:val="36"/>
                <w:szCs w:val="36"/>
              </w:rPr>
              <w:t>年度专项资金绩效评价自评表</w:t>
            </w:r>
          </w:p>
        </w:tc>
      </w:tr>
      <w:tr w:rsidR="00695C3E">
        <w:trPr>
          <w:trHeight w:hRule="exact" w:val="476"/>
          <w:jc w:val="center"/>
        </w:trPr>
        <w:tc>
          <w:tcPr>
            <w:tcW w:w="1566" w:type="dxa"/>
            <w:gridSpan w:val="2"/>
            <w:tcBorders>
              <w:top w:val="single" w:sz="4" w:space="0" w:color="auto"/>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509" w:type="dxa"/>
            <w:gridSpan w:val="1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Theme="minorEastAsia" w:eastAsiaTheme="minorEastAsia" w:hAnsiTheme="minorEastAsia" w:cstheme="minorEastAsia" w:hint="eastAsia"/>
                <w:color w:val="000000"/>
                <w:sz w:val="24"/>
                <w:szCs w:val="24"/>
              </w:rPr>
              <w:t>农村公路区级养护配套</w:t>
            </w:r>
          </w:p>
        </w:tc>
      </w:tr>
      <w:tr w:rsidR="00695C3E">
        <w:trPr>
          <w:trHeight w:hRule="exact" w:val="300"/>
          <w:jc w:val="center"/>
        </w:trPr>
        <w:tc>
          <w:tcPr>
            <w:tcW w:w="1566" w:type="dxa"/>
            <w:gridSpan w:val="2"/>
            <w:tcBorders>
              <w:top w:val="single" w:sz="4" w:space="0" w:color="auto"/>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107" w:type="dxa"/>
            <w:gridSpan w:val="5"/>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00"/>
          <w:jc w:val="center"/>
        </w:trPr>
        <w:tc>
          <w:tcPr>
            <w:tcW w:w="1566" w:type="dxa"/>
            <w:gridSpan w:val="2"/>
            <w:vMerge w:val="restart"/>
            <w:tcBorders>
              <w:top w:val="single" w:sz="4" w:space="0" w:color="auto"/>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t>（万元）</w:t>
            </w:r>
          </w:p>
        </w:tc>
        <w:tc>
          <w:tcPr>
            <w:tcW w:w="1840"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33"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134"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134"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708"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695C3E">
        <w:trPr>
          <w:trHeight w:hRule="exact" w:val="300"/>
          <w:jc w:val="center"/>
        </w:trPr>
        <w:tc>
          <w:tcPr>
            <w:tcW w:w="1566" w:type="dxa"/>
            <w:gridSpan w:val="2"/>
            <w:vMerge/>
            <w:tcBorders>
              <w:top w:val="single" w:sz="4" w:space="0" w:color="auto"/>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both"/>
              <w:rPr>
                <w:rFonts w:ascii="宋体" w:eastAsia="宋体" w:hAnsi="宋体" w:cs="宋体"/>
                <w:sz w:val="18"/>
                <w:szCs w:val="18"/>
              </w:rPr>
            </w:pPr>
            <w:r>
              <w:rPr>
                <w:rFonts w:ascii="宋体" w:eastAsia="宋体" w:hAnsi="宋体" w:cs="宋体" w:hint="eastAsia"/>
                <w:sz w:val="18"/>
                <w:szCs w:val="18"/>
              </w:rPr>
              <w:t>年度资金总额</w:t>
            </w:r>
          </w:p>
        </w:tc>
        <w:tc>
          <w:tcPr>
            <w:tcW w:w="1133"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835</w:t>
            </w:r>
          </w:p>
        </w:tc>
        <w:tc>
          <w:tcPr>
            <w:tcW w:w="1134"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835</w:t>
            </w:r>
          </w:p>
        </w:tc>
        <w:tc>
          <w:tcPr>
            <w:tcW w:w="1134"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835</w:t>
            </w:r>
          </w:p>
        </w:tc>
        <w:tc>
          <w:tcPr>
            <w:tcW w:w="709"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708"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r>
      <w:tr w:rsidR="00695C3E">
        <w:trPr>
          <w:trHeight w:hRule="exact" w:val="300"/>
          <w:jc w:val="center"/>
        </w:trPr>
        <w:tc>
          <w:tcPr>
            <w:tcW w:w="1566" w:type="dxa"/>
            <w:gridSpan w:val="2"/>
            <w:vMerge/>
            <w:tcBorders>
              <w:top w:val="single" w:sz="4" w:space="0" w:color="auto"/>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3"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835</w:t>
            </w:r>
          </w:p>
        </w:tc>
        <w:tc>
          <w:tcPr>
            <w:tcW w:w="1134"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835</w:t>
            </w:r>
          </w:p>
        </w:tc>
        <w:tc>
          <w:tcPr>
            <w:tcW w:w="1134"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835</w:t>
            </w:r>
          </w:p>
        </w:tc>
        <w:tc>
          <w:tcPr>
            <w:tcW w:w="709"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695C3E">
        <w:trPr>
          <w:trHeight w:hRule="exact" w:val="300"/>
          <w:jc w:val="center"/>
        </w:trPr>
        <w:tc>
          <w:tcPr>
            <w:tcW w:w="1566" w:type="dxa"/>
            <w:gridSpan w:val="2"/>
            <w:vMerge/>
            <w:tcBorders>
              <w:top w:val="single" w:sz="4" w:space="0" w:color="auto"/>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3"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709"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695C3E">
        <w:trPr>
          <w:trHeight w:hRule="exact" w:val="300"/>
          <w:jc w:val="center"/>
        </w:trPr>
        <w:tc>
          <w:tcPr>
            <w:tcW w:w="1566" w:type="dxa"/>
            <w:gridSpan w:val="2"/>
            <w:vMerge/>
            <w:tcBorders>
              <w:top w:val="single" w:sz="4" w:space="0" w:color="auto"/>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3"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709"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695C3E">
        <w:trPr>
          <w:trHeight w:hRule="exact" w:val="300"/>
          <w:jc w:val="center"/>
        </w:trPr>
        <w:tc>
          <w:tcPr>
            <w:tcW w:w="587"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086" w:type="dxa"/>
            <w:gridSpan w:val="6"/>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695C3E">
        <w:trPr>
          <w:trHeight w:hRule="exact" w:val="1032"/>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5086" w:type="dxa"/>
            <w:gridSpan w:val="6"/>
            <w:tcBorders>
              <w:top w:val="single" w:sz="4" w:space="0" w:color="auto"/>
              <w:left w:val="nil"/>
              <w:bottom w:val="single" w:sz="4" w:space="0" w:color="auto"/>
              <w:right w:val="single" w:sz="4" w:space="0" w:color="auto"/>
            </w:tcBorders>
            <w:vAlign w:val="center"/>
          </w:tcPr>
          <w:p w:rsidR="00695C3E" w:rsidRDefault="00987F5C">
            <w:pPr>
              <w:spacing w:line="240" w:lineRule="exact"/>
              <w:rPr>
                <w:rFonts w:ascii="宋体" w:eastAsia="宋体" w:hAnsi="宋体" w:cs="宋体"/>
                <w:sz w:val="18"/>
                <w:szCs w:val="18"/>
              </w:rPr>
            </w:pPr>
            <w:r>
              <w:rPr>
                <w:rFonts w:ascii="宋体" w:eastAsia="宋体" w:hAnsi="宋体" w:cs="宋体" w:hint="eastAsia"/>
                <w:sz w:val="18"/>
                <w:szCs w:val="18"/>
              </w:rPr>
              <w:t>农村公路PQI中等路率达到86%，列养率达到100%，绿化率达到85%，农村公路县、乡、村道经常性养护率分别达到100%，90%和75%。</w:t>
            </w:r>
          </w:p>
        </w:tc>
        <w:tc>
          <w:tcPr>
            <w:tcW w:w="3402" w:type="dxa"/>
            <w:gridSpan w:val="7"/>
            <w:tcBorders>
              <w:top w:val="single" w:sz="4" w:space="0" w:color="auto"/>
              <w:left w:val="nil"/>
              <w:bottom w:val="single" w:sz="4" w:space="0" w:color="auto"/>
              <w:right w:val="single" w:sz="4" w:space="0" w:color="auto"/>
            </w:tcBorders>
            <w:vAlign w:val="center"/>
          </w:tcPr>
          <w:p w:rsidR="00695C3E" w:rsidRDefault="00987F5C">
            <w:pPr>
              <w:spacing w:line="240" w:lineRule="exact"/>
              <w:rPr>
                <w:rFonts w:ascii="宋体" w:eastAsia="宋体" w:hAnsi="宋体" w:cs="宋体"/>
                <w:sz w:val="18"/>
                <w:szCs w:val="18"/>
              </w:rPr>
            </w:pPr>
            <w:r>
              <w:rPr>
                <w:rFonts w:ascii="宋体" w:eastAsia="宋体" w:hAnsi="宋体" w:cs="宋体" w:hint="eastAsia"/>
                <w:sz w:val="18"/>
                <w:szCs w:val="18"/>
              </w:rPr>
              <w:t>农村公路PQI中等路率达到86.94%，列养率达到100%，绿化率达到85%，农村公路县、乡、村道经常性养护率分别达到100%，90%和80%。</w:t>
            </w:r>
          </w:p>
        </w:tc>
      </w:tr>
      <w:tr w:rsidR="00695C3E">
        <w:trPr>
          <w:trHeight w:hRule="exact" w:val="812"/>
          <w:jc w:val="center"/>
        </w:trPr>
        <w:tc>
          <w:tcPr>
            <w:tcW w:w="587"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绩</w:t>
            </w:r>
            <w:r>
              <w:rPr>
                <w:rFonts w:ascii="宋体" w:eastAsia="宋体" w:hAnsi="宋体" w:cs="宋体" w:hint="eastAsia"/>
                <w:sz w:val="18"/>
                <w:szCs w:val="18"/>
              </w:rPr>
              <w:br/>
              <w:t>效</w:t>
            </w:r>
            <w:r>
              <w:rPr>
                <w:rFonts w:ascii="宋体" w:eastAsia="宋体" w:hAnsi="宋体" w:cs="宋体" w:hint="eastAsia"/>
                <w:sz w:val="18"/>
                <w:szCs w:val="18"/>
              </w:rPr>
              <w:br/>
              <w:t>指</w:t>
            </w:r>
            <w:r>
              <w:rPr>
                <w:rFonts w:ascii="宋体" w:eastAsia="宋体" w:hAnsi="宋体" w:cs="宋体" w:hint="eastAsia"/>
                <w:sz w:val="18"/>
                <w:szCs w:val="18"/>
              </w:rPr>
              <w:br/>
              <w:t>标</w:t>
            </w:r>
          </w:p>
        </w:tc>
        <w:tc>
          <w:tcPr>
            <w:tcW w:w="979"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一级指标</w:t>
            </w:r>
          </w:p>
        </w:tc>
        <w:tc>
          <w:tcPr>
            <w:tcW w:w="111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二级指标</w:t>
            </w: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三级指标</w:t>
            </w:r>
          </w:p>
        </w:tc>
        <w:tc>
          <w:tcPr>
            <w:tcW w:w="850"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年度</w:t>
            </w:r>
          </w:p>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指标值</w:t>
            </w:r>
          </w:p>
        </w:tc>
        <w:tc>
          <w:tcPr>
            <w:tcW w:w="85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实际</w:t>
            </w:r>
          </w:p>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完成值</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c>
          <w:tcPr>
            <w:tcW w:w="1319"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偏差原因分析及改进措施</w:t>
            </w:r>
          </w:p>
        </w:tc>
      </w:tr>
      <w:tr w:rsidR="00695C3E">
        <w:trPr>
          <w:trHeight w:hRule="exact" w:val="66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val="restart"/>
            <w:tcBorders>
              <w:top w:val="nil"/>
              <w:left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产出指标(50)</w:t>
            </w:r>
          </w:p>
        </w:tc>
        <w:tc>
          <w:tcPr>
            <w:tcW w:w="1111" w:type="dxa"/>
            <w:vMerge w:val="restart"/>
            <w:tcBorders>
              <w:top w:val="nil"/>
              <w:left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数量指标(30)</w:t>
            </w: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eastAsia="仿宋_GB2312"/>
                <w:sz w:val="20"/>
                <w:szCs w:val="20"/>
              </w:rPr>
            </w:pPr>
            <w:r>
              <w:rPr>
                <w:rFonts w:hint="eastAsia"/>
                <w:sz w:val="20"/>
                <w:szCs w:val="20"/>
              </w:rPr>
              <w:t>日常保养、小修全区农村公路</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2160.29公里</w:t>
            </w:r>
          </w:p>
        </w:tc>
        <w:tc>
          <w:tcPr>
            <w:tcW w:w="851"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2371.5公里</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48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11"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eastAsia="仿宋_GB2312"/>
                <w:sz w:val="20"/>
                <w:szCs w:val="20"/>
              </w:rPr>
            </w:pPr>
            <w:r>
              <w:rPr>
                <w:rFonts w:hint="eastAsia"/>
                <w:sz w:val="20"/>
                <w:szCs w:val="20"/>
              </w:rPr>
              <w:t>农村公路列养率</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851"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42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11"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eastAsia="仿宋_GB2312"/>
                <w:sz w:val="20"/>
                <w:szCs w:val="20"/>
              </w:rPr>
            </w:pPr>
            <w:r>
              <w:rPr>
                <w:rFonts w:hint="eastAsia"/>
                <w:sz w:val="20"/>
                <w:szCs w:val="20"/>
              </w:rPr>
              <w:t>县道经常性养护率</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851"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6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11"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eastAsia="仿宋_GB2312"/>
                <w:sz w:val="20"/>
                <w:szCs w:val="20"/>
              </w:rPr>
            </w:pPr>
            <w:r>
              <w:rPr>
                <w:rFonts w:hint="eastAsia"/>
                <w:sz w:val="20"/>
                <w:szCs w:val="20"/>
              </w:rPr>
              <w:t>乡道经常性养护率</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≧90%</w:t>
            </w:r>
          </w:p>
        </w:tc>
        <w:tc>
          <w:tcPr>
            <w:tcW w:w="851"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90%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45"/>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11"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eastAsia="仿宋_GB2312"/>
                <w:sz w:val="20"/>
                <w:szCs w:val="20"/>
              </w:rPr>
            </w:pPr>
            <w:r>
              <w:rPr>
                <w:rFonts w:hint="eastAsia"/>
                <w:sz w:val="20"/>
                <w:szCs w:val="20"/>
              </w:rPr>
              <w:t>村道经常性养护率</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≧75%</w:t>
            </w:r>
          </w:p>
        </w:tc>
        <w:tc>
          <w:tcPr>
            <w:tcW w:w="851"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80%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117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11"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eastAsia="仿宋_GB2312"/>
                <w:sz w:val="20"/>
                <w:szCs w:val="20"/>
              </w:rPr>
            </w:pPr>
            <w:r>
              <w:rPr>
                <w:rFonts w:hint="eastAsia"/>
                <w:sz w:val="20"/>
                <w:szCs w:val="20"/>
              </w:rPr>
              <w:t>实施交通廊道绿化行动，县、乡、村道创建绿化美化线路，按市局下达计划完成，完成率</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851"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825"/>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111" w:type="dxa"/>
            <w:vMerge/>
            <w:tcBorders>
              <w:left w:val="single" w:sz="4" w:space="0" w:color="auto"/>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eastAsia="仿宋_GB2312"/>
                <w:sz w:val="20"/>
                <w:szCs w:val="20"/>
              </w:rPr>
            </w:pPr>
            <w:r>
              <w:rPr>
                <w:rFonts w:hint="eastAsia"/>
                <w:sz w:val="20"/>
                <w:szCs w:val="20"/>
              </w:rPr>
              <w:t>督促乡镇、街道完成农村公路重点养护项目</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68个</w:t>
            </w:r>
          </w:p>
        </w:tc>
        <w:tc>
          <w:tcPr>
            <w:tcW w:w="851"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68个</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319"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监督方面要加强</w:t>
            </w:r>
          </w:p>
        </w:tc>
      </w:tr>
      <w:tr w:rsidR="00695C3E">
        <w:trPr>
          <w:trHeight w:hRule="exact" w:val="545"/>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val="restart"/>
            <w:tcBorders>
              <w:top w:val="single" w:sz="4" w:space="0" w:color="auto"/>
              <w:left w:val="single" w:sz="4" w:space="0" w:color="auto"/>
              <w:bottom w:val="nil"/>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质量指标(12)</w:t>
            </w:r>
          </w:p>
        </w:tc>
        <w:tc>
          <w:tcPr>
            <w:tcW w:w="2146" w:type="dxa"/>
            <w:gridSpan w:val="3"/>
            <w:tcBorders>
              <w:top w:val="single" w:sz="4" w:space="0" w:color="auto"/>
              <w:left w:val="single" w:sz="4" w:space="0" w:color="auto"/>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养护巡查到位，巡查日志完整性</w:t>
            </w:r>
          </w:p>
        </w:tc>
        <w:tc>
          <w:tcPr>
            <w:tcW w:w="850"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20"/>
                <w:szCs w:val="20"/>
              </w:rPr>
              <w:t>100%</w:t>
            </w:r>
          </w:p>
        </w:tc>
        <w:tc>
          <w:tcPr>
            <w:tcW w:w="85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20"/>
                <w:szCs w:val="20"/>
              </w:rPr>
              <w:t>100%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1215"/>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nil"/>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single" w:sz="4" w:space="0" w:color="auto"/>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农村公路年末状况，路面（PQI）中等路以上比例达到市局下达的指标要求</w:t>
            </w:r>
          </w:p>
        </w:tc>
        <w:tc>
          <w:tcPr>
            <w:tcW w:w="850"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20"/>
                <w:szCs w:val="20"/>
              </w:rPr>
            </w:pPr>
            <w:r>
              <w:rPr>
                <w:rFonts w:ascii="宋体" w:eastAsia="宋体" w:hAnsi="宋体" w:cs="宋体" w:hint="eastAsia"/>
                <w:sz w:val="20"/>
                <w:szCs w:val="20"/>
              </w:rPr>
              <w:t>86%</w:t>
            </w:r>
          </w:p>
        </w:tc>
        <w:tc>
          <w:tcPr>
            <w:tcW w:w="85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20"/>
                <w:szCs w:val="20"/>
              </w:rPr>
              <w:t>86.94%</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7</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7</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single" w:sz="4" w:space="0" w:color="auto"/>
              <w:bottom w:val="single" w:sz="4" w:space="0" w:color="auto"/>
              <w:right w:val="single" w:sz="4" w:space="0" w:color="auto"/>
            </w:tcBorders>
            <w:vAlign w:val="center"/>
          </w:tcPr>
          <w:p w:rsidR="00695C3E" w:rsidRDefault="00695C3E">
            <w:pPr>
              <w:spacing w:line="240" w:lineRule="exact"/>
              <w:rPr>
                <w:rFonts w:ascii="宋体" w:eastAsia="宋体" w:hAnsi="宋体" w:cs="宋体"/>
                <w:color w:val="000000"/>
                <w:sz w:val="18"/>
                <w:szCs w:val="18"/>
              </w:rPr>
            </w:pPr>
          </w:p>
        </w:tc>
        <w:tc>
          <w:tcPr>
            <w:tcW w:w="850"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665"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655"/>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val="restart"/>
            <w:tcBorders>
              <w:top w:val="single" w:sz="4" w:space="0" w:color="auto"/>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时效指标(5)</w:t>
            </w: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日常养护每周巡查到位</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851"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20"/>
                <w:szCs w:val="20"/>
              </w:rPr>
            </w:pPr>
            <w:r>
              <w:rPr>
                <w:rFonts w:ascii="宋体" w:eastAsia="宋体" w:hAnsi="宋体" w:cs="宋体" w:hint="eastAsia"/>
                <w:sz w:val="20"/>
                <w:szCs w:val="20"/>
              </w:rPr>
              <w:t>2</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2</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855"/>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小修保养任务根据小修性质及计划要求按时完成</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851"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90%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20"/>
                <w:szCs w:val="20"/>
              </w:rPr>
            </w:pPr>
            <w:r>
              <w:rPr>
                <w:rFonts w:ascii="宋体" w:eastAsia="宋体" w:hAnsi="宋体" w:cs="宋体" w:hint="eastAsia"/>
                <w:sz w:val="20"/>
                <w:szCs w:val="20"/>
              </w:rPr>
              <w:t>3</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2.7</w:t>
            </w:r>
          </w:p>
        </w:tc>
        <w:tc>
          <w:tcPr>
            <w:tcW w:w="1319"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小修项目存在极个别未及时完成</w:t>
            </w: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695C3E">
            <w:pPr>
              <w:spacing w:line="240" w:lineRule="exact"/>
              <w:rPr>
                <w:rFonts w:ascii="宋体" w:eastAsia="宋体" w:hAnsi="宋体" w:cs="宋体"/>
                <w:color w:val="000000"/>
                <w:sz w:val="18"/>
                <w:szCs w:val="18"/>
              </w:rPr>
            </w:pPr>
          </w:p>
        </w:tc>
        <w:tc>
          <w:tcPr>
            <w:tcW w:w="850"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665"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585"/>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成本指标(3)</w:t>
            </w: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确保低成本、高效率，不超预算</w:t>
            </w:r>
          </w:p>
        </w:tc>
        <w:tc>
          <w:tcPr>
            <w:tcW w:w="850" w:type="dxa"/>
            <w:tcBorders>
              <w:top w:val="single" w:sz="4" w:space="0" w:color="auto"/>
              <w:left w:val="single" w:sz="4" w:space="0" w:color="auto"/>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851" w:type="dxa"/>
            <w:tcBorders>
              <w:top w:val="single" w:sz="4" w:space="0" w:color="auto"/>
              <w:left w:val="single" w:sz="4" w:space="0" w:color="auto"/>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80%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665" w:type="dxa"/>
            <w:gridSpan w:val="2"/>
            <w:tcBorders>
              <w:top w:val="single" w:sz="4" w:space="0" w:color="auto"/>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2.4</w:t>
            </w:r>
          </w:p>
        </w:tc>
        <w:tc>
          <w:tcPr>
            <w:tcW w:w="1319"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提升效率方面有待加强</w:t>
            </w: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695C3E">
            <w:pPr>
              <w:spacing w:line="240" w:lineRule="exact"/>
              <w:rPr>
                <w:rFonts w:ascii="宋体" w:eastAsia="宋体" w:hAnsi="宋体" w:cs="宋体"/>
                <w:color w:val="000000"/>
                <w:sz w:val="18"/>
                <w:szCs w:val="18"/>
              </w:rPr>
            </w:pPr>
          </w:p>
        </w:tc>
        <w:tc>
          <w:tcPr>
            <w:tcW w:w="850" w:type="dxa"/>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851" w:type="dxa"/>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567"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665"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效益指标(40)</w:t>
            </w:r>
          </w:p>
        </w:tc>
        <w:tc>
          <w:tcPr>
            <w:tcW w:w="1111"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经济效益指标(10)</w:t>
            </w: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经济效益不明显</w:t>
            </w:r>
          </w:p>
        </w:tc>
        <w:tc>
          <w:tcPr>
            <w:tcW w:w="850" w:type="dxa"/>
            <w:tcBorders>
              <w:top w:val="nil"/>
              <w:left w:val="nil"/>
              <w:bottom w:val="single" w:sz="4" w:space="0" w:color="auto"/>
              <w:right w:val="single" w:sz="4" w:space="0" w:color="auto"/>
            </w:tcBorders>
            <w:vAlign w:val="center"/>
          </w:tcPr>
          <w:p w:rsidR="00695C3E" w:rsidRDefault="00695C3E">
            <w:pPr>
              <w:spacing w:line="280" w:lineRule="exact"/>
              <w:jc w:val="center"/>
              <w:rPr>
                <w:rFonts w:ascii="宋体" w:eastAsia="宋体" w:hAnsi="宋体" w:cs="宋体"/>
                <w:sz w:val="20"/>
                <w:szCs w:val="20"/>
              </w:rPr>
            </w:pPr>
          </w:p>
        </w:tc>
        <w:tc>
          <w:tcPr>
            <w:tcW w:w="851"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9</w:t>
            </w:r>
          </w:p>
        </w:tc>
        <w:tc>
          <w:tcPr>
            <w:tcW w:w="1319"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无明显经济效益</w:t>
            </w: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695C3E">
            <w:pPr>
              <w:spacing w:line="280" w:lineRule="exact"/>
              <w:jc w:val="center"/>
              <w:rPr>
                <w:rFonts w:ascii="宋体" w:eastAsia="宋体" w:hAnsi="宋体" w:cs="宋体"/>
                <w:sz w:val="20"/>
                <w:szCs w:val="20"/>
              </w:rPr>
            </w:pPr>
          </w:p>
        </w:tc>
        <w:tc>
          <w:tcPr>
            <w:tcW w:w="850" w:type="dxa"/>
            <w:tcBorders>
              <w:top w:val="nil"/>
              <w:left w:val="nil"/>
              <w:bottom w:val="single" w:sz="4" w:space="0" w:color="auto"/>
              <w:right w:val="single" w:sz="4" w:space="0" w:color="auto"/>
            </w:tcBorders>
            <w:vAlign w:val="center"/>
          </w:tcPr>
          <w:p w:rsidR="00695C3E" w:rsidRDefault="00695C3E">
            <w:pPr>
              <w:spacing w:line="280" w:lineRule="exact"/>
              <w:jc w:val="center"/>
              <w:rPr>
                <w:rFonts w:ascii="宋体" w:eastAsia="宋体" w:hAnsi="宋体" w:cs="宋体"/>
                <w:sz w:val="20"/>
                <w:szCs w:val="20"/>
              </w:rPr>
            </w:pPr>
          </w:p>
        </w:tc>
        <w:tc>
          <w:tcPr>
            <w:tcW w:w="851"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665"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685"/>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指标(10)</w:t>
            </w: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道路安全、通畅，行车舒适</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效果明显</w:t>
            </w:r>
          </w:p>
        </w:tc>
        <w:tc>
          <w:tcPr>
            <w:tcW w:w="85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20"/>
                <w:szCs w:val="20"/>
              </w:rPr>
              <w:t>达到相关要求</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695C3E">
            <w:pPr>
              <w:spacing w:line="240" w:lineRule="exact"/>
              <w:rPr>
                <w:rFonts w:ascii="宋体" w:eastAsia="宋体" w:hAnsi="宋体" w:cs="宋体"/>
                <w:color w:val="000000"/>
                <w:sz w:val="18"/>
                <w:szCs w:val="18"/>
              </w:rPr>
            </w:pPr>
          </w:p>
        </w:tc>
        <w:tc>
          <w:tcPr>
            <w:tcW w:w="850"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665"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指标(10)</w:t>
            </w: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农村公路绿化率提升</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≧85%</w:t>
            </w:r>
          </w:p>
        </w:tc>
        <w:tc>
          <w:tcPr>
            <w:tcW w:w="85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20"/>
                <w:szCs w:val="20"/>
              </w:rPr>
              <w:t>85%</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4</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4</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 xml:space="preserve">　通畅率提升</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85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20"/>
                <w:szCs w:val="20"/>
              </w:rPr>
              <w:t>100%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695C3E">
            <w:pPr>
              <w:spacing w:line="240" w:lineRule="exact"/>
              <w:rPr>
                <w:rFonts w:ascii="宋体" w:eastAsia="宋体" w:hAnsi="宋体" w:cs="宋体"/>
                <w:color w:val="000000"/>
                <w:sz w:val="18"/>
                <w:szCs w:val="18"/>
              </w:rPr>
            </w:pPr>
          </w:p>
        </w:tc>
        <w:tc>
          <w:tcPr>
            <w:tcW w:w="850"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665"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174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可持续影响指标(10)</w:t>
            </w: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color w:val="000000"/>
                <w:sz w:val="20"/>
                <w:szCs w:val="20"/>
              </w:rPr>
            </w:pPr>
            <w:r>
              <w:rPr>
                <w:rFonts w:ascii="宋体" w:eastAsia="宋体" w:hAnsi="宋体" w:cs="宋体" w:hint="eastAsia"/>
                <w:sz w:val="20"/>
                <w:szCs w:val="20"/>
              </w:rPr>
              <w:t>推进养护运行机制创新，探索管养分离、养护外包</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效果明显</w:t>
            </w:r>
          </w:p>
        </w:tc>
        <w:tc>
          <w:tcPr>
            <w:tcW w:w="85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20"/>
                <w:szCs w:val="20"/>
              </w:rPr>
              <w:t>小修养护全部采用社会化承包，机制在不断完善</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148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rPr>
                <w:rFonts w:ascii="宋体" w:eastAsia="宋体" w:hAnsi="宋体" w:cs="宋体"/>
                <w:color w:val="000000"/>
                <w:sz w:val="20"/>
                <w:szCs w:val="20"/>
              </w:rPr>
            </w:pPr>
            <w:r>
              <w:rPr>
                <w:rFonts w:ascii="宋体" w:eastAsia="宋体" w:hAnsi="宋体" w:cs="宋体" w:hint="eastAsia"/>
                <w:sz w:val="20"/>
                <w:szCs w:val="20"/>
              </w:rPr>
              <w:t>持续推行公路路长制，继续完善里程牌、百米桩、标志标牌，达到省、市相关要求</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85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20"/>
                <w:szCs w:val="20"/>
              </w:rPr>
              <w:t>80%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4</w:t>
            </w:r>
          </w:p>
        </w:tc>
        <w:tc>
          <w:tcPr>
            <w:tcW w:w="1319" w:type="dxa"/>
            <w:gridSpan w:val="2"/>
            <w:tcBorders>
              <w:top w:val="single" w:sz="4" w:space="0" w:color="auto"/>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公里碑、百米桩存在未及时增补到位情况</w:t>
            </w: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695C3E">
            <w:pPr>
              <w:spacing w:line="240" w:lineRule="exact"/>
              <w:rPr>
                <w:rFonts w:ascii="宋体" w:eastAsia="宋体" w:hAnsi="宋体" w:cs="宋体"/>
                <w:color w:val="000000"/>
                <w:sz w:val="18"/>
                <w:szCs w:val="18"/>
              </w:rPr>
            </w:pPr>
          </w:p>
        </w:tc>
        <w:tc>
          <w:tcPr>
            <w:tcW w:w="850"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665"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指标(10)</w:t>
            </w:r>
          </w:p>
        </w:tc>
        <w:tc>
          <w:tcPr>
            <w:tcW w:w="1111" w:type="dxa"/>
            <w:vMerge w:val="restart"/>
            <w:tcBorders>
              <w:top w:val="nil"/>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服务对象满意度指标(10)</w:t>
            </w:r>
          </w:p>
        </w:tc>
        <w:tc>
          <w:tcPr>
            <w:tcW w:w="2146" w:type="dxa"/>
            <w:gridSpan w:val="3"/>
            <w:tcBorders>
              <w:top w:val="single" w:sz="4" w:space="0" w:color="auto"/>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 xml:space="preserve">全区群众满意　</w:t>
            </w:r>
          </w:p>
        </w:tc>
        <w:tc>
          <w:tcPr>
            <w:tcW w:w="850" w:type="dxa"/>
            <w:tcBorders>
              <w:top w:val="nil"/>
              <w:left w:val="nil"/>
              <w:bottom w:val="single" w:sz="4" w:space="0" w:color="auto"/>
              <w:right w:val="single" w:sz="4" w:space="0" w:color="auto"/>
            </w:tcBorders>
            <w:vAlign w:val="center"/>
          </w:tcPr>
          <w:p w:rsidR="00695C3E" w:rsidRDefault="00987F5C">
            <w:pPr>
              <w:spacing w:line="280" w:lineRule="exact"/>
              <w:jc w:val="center"/>
              <w:rPr>
                <w:rFonts w:ascii="宋体" w:eastAsia="宋体" w:hAnsi="宋体" w:cs="宋体"/>
                <w:sz w:val="20"/>
                <w:szCs w:val="20"/>
              </w:rPr>
            </w:pPr>
            <w:r>
              <w:rPr>
                <w:rFonts w:ascii="宋体" w:eastAsia="宋体" w:hAnsi="宋体" w:cs="宋体" w:hint="eastAsia"/>
                <w:sz w:val="20"/>
                <w:szCs w:val="20"/>
              </w:rPr>
              <w:t>100%</w:t>
            </w:r>
          </w:p>
        </w:tc>
        <w:tc>
          <w:tcPr>
            <w:tcW w:w="851" w:type="dxa"/>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20"/>
                <w:szCs w:val="20"/>
              </w:rPr>
              <w:t>100%</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485"/>
          <w:jc w:val="center"/>
        </w:trPr>
        <w:tc>
          <w:tcPr>
            <w:tcW w:w="587"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979"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1111" w:type="dxa"/>
            <w:vMerge/>
            <w:tcBorders>
              <w:top w:val="nil"/>
              <w:left w:val="single" w:sz="4" w:space="0" w:color="auto"/>
              <w:bottom w:val="single" w:sz="4" w:space="0" w:color="auto"/>
              <w:right w:val="single" w:sz="4" w:space="0" w:color="auto"/>
            </w:tcBorders>
            <w:vAlign w:val="center"/>
          </w:tcPr>
          <w:p w:rsidR="00695C3E" w:rsidRDefault="00695C3E">
            <w:pPr>
              <w:rPr>
                <w:rFonts w:ascii="宋体" w:eastAsia="宋体" w:hAnsi="宋体" w:cs="宋体"/>
                <w:sz w:val="18"/>
                <w:szCs w:val="18"/>
              </w:rPr>
            </w:pPr>
          </w:p>
        </w:tc>
        <w:tc>
          <w:tcPr>
            <w:tcW w:w="2146" w:type="dxa"/>
            <w:gridSpan w:val="3"/>
            <w:tcBorders>
              <w:top w:val="single" w:sz="4" w:space="0" w:color="auto"/>
              <w:left w:val="nil"/>
              <w:bottom w:val="single" w:sz="4" w:space="0" w:color="auto"/>
              <w:right w:val="single" w:sz="4" w:space="0" w:color="auto"/>
            </w:tcBorders>
            <w:vAlign w:val="center"/>
          </w:tcPr>
          <w:p w:rsidR="00695C3E" w:rsidRDefault="00695C3E">
            <w:pPr>
              <w:spacing w:line="240" w:lineRule="exact"/>
              <w:rPr>
                <w:rFonts w:ascii="宋体" w:eastAsia="宋体" w:hAnsi="宋体" w:cs="宋体"/>
                <w:color w:val="000000"/>
                <w:sz w:val="18"/>
                <w:szCs w:val="18"/>
              </w:rPr>
            </w:pPr>
          </w:p>
        </w:tc>
        <w:tc>
          <w:tcPr>
            <w:tcW w:w="850"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665" w:type="dxa"/>
            <w:gridSpan w:val="2"/>
            <w:tcBorders>
              <w:top w:val="nil"/>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r w:rsidR="00695C3E">
        <w:trPr>
          <w:trHeight w:hRule="exact" w:val="300"/>
          <w:jc w:val="center"/>
        </w:trPr>
        <w:tc>
          <w:tcPr>
            <w:tcW w:w="6524" w:type="dxa"/>
            <w:gridSpan w:val="8"/>
            <w:tcBorders>
              <w:top w:val="single" w:sz="4" w:space="0" w:color="auto"/>
              <w:left w:val="single" w:sz="4" w:space="0" w:color="auto"/>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67"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100</w:t>
            </w:r>
          </w:p>
        </w:tc>
        <w:tc>
          <w:tcPr>
            <w:tcW w:w="665" w:type="dxa"/>
            <w:gridSpan w:val="2"/>
            <w:tcBorders>
              <w:top w:val="nil"/>
              <w:left w:val="nil"/>
              <w:bottom w:val="single" w:sz="4" w:space="0" w:color="auto"/>
              <w:right w:val="single" w:sz="4" w:space="0" w:color="auto"/>
            </w:tcBorders>
            <w:vAlign w:val="center"/>
          </w:tcPr>
          <w:p w:rsidR="00695C3E" w:rsidRDefault="00987F5C">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96.111</w:t>
            </w:r>
          </w:p>
        </w:tc>
        <w:tc>
          <w:tcPr>
            <w:tcW w:w="1319" w:type="dxa"/>
            <w:gridSpan w:val="2"/>
            <w:tcBorders>
              <w:top w:val="single" w:sz="4" w:space="0" w:color="auto"/>
              <w:left w:val="nil"/>
              <w:bottom w:val="single" w:sz="4" w:space="0" w:color="auto"/>
              <w:right w:val="single" w:sz="4" w:space="0" w:color="auto"/>
            </w:tcBorders>
            <w:vAlign w:val="center"/>
          </w:tcPr>
          <w:p w:rsidR="00695C3E" w:rsidRDefault="00695C3E">
            <w:pPr>
              <w:spacing w:line="240" w:lineRule="exact"/>
              <w:jc w:val="center"/>
              <w:rPr>
                <w:rFonts w:ascii="宋体" w:eastAsia="宋体" w:hAnsi="宋体" w:cs="宋体"/>
                <w:sz w:val="18"/>
                <w:szCs w:val="18"/>
              </w:rPr>
            </w:pPr>
          </w:p>
        </w:tc>
      </w:tr>
    </w:tbl>
    <w:p w:rsidR="00695C3E" w:rsidRDefault="00695C3E">
      <w:pPr>
        <w:spacing w:line="600" w:lineRule="exact"/>
        <w:rPr>
          <w:rFonts w:ascii="黑体" w:eastAsia="黑体" w:hAnsi="黑体" w:cs="黑体"/>
        </w:rPr>
      </w:pPr>
    </w:p>
    <w:p w:rsidR="00695C3E" w:rsidRDefault="00695C3E">
      <w:pPr>
        <w:spacing w:line="600" w:lineRule="exact"/>
        <w:rPr>
          <w:rFonts w:ascii="黑体" w:eastAsia="黑体" w:hAnsi="黑体" w:cs="黑体"/>
        </w:rPr>
      </w:pPr>
    </w:p>
    <w:p w:rsidR="00695C3E" w:rsidRDefault="00695C3E">
      <w:pPr>
        <w:spacing w:line="600" w:lineRule="exact"/>
        <w:rPr>
          <w:rFonts w:ascii="黑体" w:eastAsia="黑体" w:hAnsi="黑体" w:cs="黑体"/>
        </w:rPr>
      </w:pPr>
    </w:p>
    <w:p w:rsidR="00695C3E" w:rsidRDefault="00695C3E">
      <w:pPr>
        <w:spacing w:line="600" w:lineRule="exact"/>
        <w:rPr>
          <w:rFonts w:ascii="黑体" w:eastAsia="黑体" w:hAnsi="黑体" w:cs="黑体"/>
        </w:rPr>
      </w:pPr>
    </w:p>
    <w:p w:rsidR="00695C3E" w:rsidRDefault="00695C3E">
      <w:pPr>
        <w:spacing w:line="600" w:lineRule="exact"/>
        <w:rPr>
          <w:rFonts w:ascii="黑体" w:eastAsia="黑体" w:hAnsi="黑体" w:cs="黑体"/>
        </w:rPr>
      </w:pPr>
    </w:p>
    <w:p w:rsidR="00695C3E" w:rsidRDefault="00695C3E">
      <w:pPr>
        <w:spacing w:line="600" w:lineRule="exact"/>
        <w:rPr>
          <w:rFonts w:ascii="黑体" w:eastAsia="黑体" w:hAnsi="黑体" w:cs="黑体"/>
        </w:rPr>
      </w:pPr>
    </w:p>
    <w:p w:rsidR="00695C3E" w:rsidRDefault="00695C3E">
      <w:pPr>
        <w:spacing w:line="600" w:lineRule="exact"/>
        <w:rPr>
          <w:rFonts w:ascii="黑体" w:eastAsia="黑体" w:hAnsi="黑体" w:cs="黑体"/>
        </w:rPr>
      </w:pPr>
    </w:p>
    <w:p w:rsidR="00695C3E" w:rsidRDefault="00695C3E">
      <w:pPr>
        <w:jc w:val="both"/>
        <w:rPr>
          <w:rFonts w:ascii="宋体" w:eastAsia="宋体" w:hAnsi="宋体" w:cs="Arial"/>
          <w:b/>
          <w:bCs/>
          <w:sz w:val="36"/>
          <w:szCs w:val="36"/>
        </w:rPr>
      </w:pPr>
    </w:p>
    <w:p w:rsidR="00695C3E" w:rsidRDefault="00987F5C">
      <w:pPr>
        <w:jc w:val="center"/>
        <w:rPr>
          <w:rFonts w:ascii="宋体" w:eastAsia="宋体" w:hAnsi="宋体" w:cs="宋体"/>
          <w:b/>
          <w:bCs/>
          <w:sz w:val="36"/>
          <w:szCs w:val="36"/>
        </w:rPr>
      </w:pPr>
      <w:r>
        <w:rPr>
          <w:rFonts w:ascii="宋体" w:eastAsia="宋体" w:hAnsi="宋体" w:cs="宋体" w:hint="eastAsia"/>
          <w:b/>
          <w:bCs/>
          <w:sz w:val="36"/>
          <w:szCs w:val="36"/>
        </w:rPr>
        <w:t>2019年度区公路养护中心农村公路区级配套资金</w:t>
      </w:r>
    </w:p>
    <w:p w:rsidR="00695C3E" w:rsidRDefault="00987F5C">
      <w:pPr>
        <w:jc w:val="center"/>
        <w:rPr>
          <w:rFonts w:ascii="宋体" w:eastAsia="宋体" w:hAnsi="宋体" w:cs="宋体"/>
          <w:b/>
          <w:bCs/>
          <w:sz w:val="36"/>
          <w:szCs w:val="36"/>
        </w:rPr>
      </w:pPr>
      <w:r>
        <w:rPr>
          <w:rFonts w:ascii="宋体" w:eastAsia="宋体" w:hAnsi="宋体" w:cs="宋体" w:hint="eastAsia"/>
          <w:b/>
          <w:bCs/>
          <w:sz w:val="36"/>
          <w:szCs w:val="36"/>
        </w:rPr>
        <w:t>绩效自评报告</w:t>
      </w:r>
    </w:p>
    <w:p w:rsidR="00695C3E" w:rsidRDefault="00987F5C">
      <w:pPr>
        <w:spacing w:line="360" w:lineRule="auto"/>
        <w:ind w:firstLineChars="200" w:firstLine="602"/>
        <w:rPr>
          <w:rFonts w:ascii="宋体" w:eastAsia="宋体" w:hAnsi="宋体" w:cs="宋体"/>
          <w:b/>
          <w:bCs/>
          <w:sz w:val="30"/>
          <w:szCs w:val="30"/>
        </w:rPr>
      </w:pPr>
      <w:r>
        <w:rPr>
          <w:rFonts w:ascii="宋体" w:eastAsia="宋体" w:hAnsi="宋体" w:cs="宋体" w:hint="eastAsia"/>
          <w:b/>
          <w:bCs/>
          <w:sz w:val="30"/>
          <w:szCs w:val="30"/>
        </w:rPr>
        <w:t>一、项目概况</w:t>
      </w:r>
    </w:p>
    <w:p w:rsidR="00695C3E" w:rsidRDefault="00987F5C">
      <w:pPr>
        <w:spacing w:line="360" w:lineRule="auto"/>
        <w:rPr>
          <w:rFonts w:ascii="宋体" w:eastAsia="宋体" w:hAnsi="宋体" w:cs="宋体"/>
          <w:sz w:val="30"/>
          <w:szCs w:val="30"/>
        </w:rPr>
      </w:pPr>
      <w:r>
        <w:rPr>
          <w:rFonts w:ascii="宋体" w:eastAsia="宋体" w:hAnsi="宋体" w:cs="宋体" w:hint="eastAsia"/>
          <w:sz w:val="30"/>
          <w:szCs w:val="30"/>
        </w:rPr>
        <w:t xml:space="preserve">   （一）项目单位基本情况。</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按照2018年年末年报数据，我中心农村公路日常养护总里程为2160.29公里，2019年农村公路年度计划按该里程制定。中心内设综合办公室、人事教育部、财务部、计划统计部、公路养护部、安全法规部。</w:t>
      </w:r>
      <w:r>
        <w:rPr>
          <w:rFonts w:ascii="宋体" w:eastAsia="宋体" w:hAnsi="宋体" w:cs="宋体" w:hint="eastAsia"/>
          <w:color w:val="000000"/>
          <w:sz w:val="30"/>
          <w:szCs w:val="30"/>
        </w:rPr>
        <w:t>养护中心分设铜林坳管养站、梅花岭管养站、齐天庙管养站、靖港管养站和铜官管养站。乡镇针对农村公路分设了7个农村公路养护站。目前中心还有</w:t>
      </w:r>
      <w:r>
        <w:rPr>
          <w:rFonts w:ascii="宋体" w:eastAsia="宋体" w:hAnsi="宋体" w:cs="宋体" w:hint="eastAsia"/>
          <w:sz w:val="30"/>
          <w:szCs w:val="30"/>
        </w:rPr>
        <w:t>在职干部职工71人（在编人员57人，原沙河收费站接收人员14人），退休职工78人。</w:t>
      </w:r>
    </w:p>
    <w:p w:rsidR="00695C3E" w:rsidRDefault="00987F5C">
      <w:pPr>
        <w:spacing w:line="360" w:lineRule="auto"/>
        <w:rPr>
          <w:rFonts w:ascii="宋体" w:eastAsia="宋体" w:hAnsi="宋体" w:cs="宋体"/>
          <w:sz w:val="30"/>
          <w:szCs w:val="30"/>
        </w:rPr>
      </w:pPr>
      <w:r>
        <w:rPr>
          <w:rFonts w:ascii="宋体" w:eastAsia="宋体" w:hAnsi="宋体" w:cs="宋体" w:hint="eastAsia"/>
          <w:sz w:val="30"/>
          <w:szCs w:val="30"/>
        </w:rPr>
        <w:t xml:space="preserve"> （二）项目基本情况简介，包括项目基本性质、用途和主要内容、涉及范围等。按2019年年报数据，全区农村公路日常养护总里程为2342.133公里，其中新升级的国省道52.574公里，县道377.058公里，乡道442.157公里，村道1470.344公里；桥梁207座，4149.65延米。农村公路的养护项目主要是日常保洁和日常小修。按照“乡道乡管、村道村管”的原则，由乡镇、街道及建制村对路面、桥梁进行清扫保洁，根据路面情况适当冲洗路面等；小修保养县道以上公路由养护中心负责实施，</w:t>
      </w:r>
      <w:r>
        <w:rPr>
          <w:rFonts w:ascii="宋体" w:eastAsia="宋体" w:hAnsi="宋体" w:cs="宋体" w:hint="eastAsia"/>
          <w:sz w:val="30"/>
          <w:szCs w:val="30"/>
        </w:rPr>
        <w:lastRenderedPageBreak/>
        <w:t>乡村道以乡镇、街道为主，主要针对破损路面进行挖补，对裂缝进行清灌，对附属设施进行修复，对绿化进行修剪等等。</w:t>
      </w:r>
    </w:p>
    <w:p w:rsidR="00695C3E" w:rsidRDefault="00987F5C">
      <w:pPr>
        <w:spacing w:line="360" w:lineRule="auto"/>
        <w:ind w:firstLineChars="200" w:firstLine="602"/>
        <w:rPr>
          <w:rFonts w:ascii="宋体" w:eastAsia="宋体" w:hAnsi="宋体" w:cs="宋体"/>
          <w:b/>
          <w:bCs/>
          <w:sz w:val="30"/>
          <w:szCs w:val="30"/>
        </w:rPr>
      </w:pPr>
      <w:r>
        <w:rPr>
          <w:rFonts w:ascii="宋体" w:eastAsia="宋体" w:hAnsi="宋体" w:cs="宋体" w:hint="eastAsia"/>
          <w:b/>
          <w:bCs/>
          <w:sz w:val="30"/>
          <w:szCs w:val="30"/>
        </w:rPr>
        <w:t>二、项目资金使用及管理情况</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1、项目资金使用情况</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2019年区财政预算农村公路养护经费835万元，实际到位资金834.96万元，具体资金使用情况如下：财政直接拨付各乡镇、街道农村公路重点养护经费556.36万元。拨付给我单位271.3万元，其中铜靖汽运码头修缮45万，小修资金7.3万，路桥公司改制遗留工程尾款资金150万(望财预指[2019]0584)及路桥公司涉讼债务76.3万。</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2、项目资金管理情况</w:t>
      </w:r>
    </w:p>
    <w:p w:rsidR="00695C3E" w:rsidRPr="00591AB9" w:rsidRDefault="00987F5C" w:rsidP="00591AB9">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项目资金严格按照《预算法》等管理制度执行。项目资金支出按照国家财经法规和财务管理制度规定以及专项资金管理办法的规定办理。</w:t>
      </w:r>
      <w:r>
        <w:rPr>
          <w:rFonts w:ascii="宋体" w:eastAsia="宋体" w:hAnsi="宋体" w:cs="宋体" w:hint="eastAsia"/>
          <w:b/>
          <w:bCs/>
          <w:sz w:val="30"/>
          <w:szCs w:val="30"/>
        </w:rPr>
        <w:t xml:space="preserve"> </w:t>
      </w:r>
    </w:p>
    <w:p w:rsidR="00695C3E" w:rsidRDefault="00987F5C">
      <w:pPr>
        <w:spacing w:line="360" w:lineRule="auto"/>
        <w:rPr>
          <w:rFonts w:ascii="宋体" w:eastAsia="宋体" w:hAnsi="宋体" w:cs="宋体"/>
          <w:b/>
          <w:bCs/>
          <w:sz w:val="30"/>
          <w:szCs w:val="30"/>
        </w:rPr>
      </w:pPr>
      <w:r>
        <w:rPr>
          <w:rFonts w:ascii="宋体" w:eastAsia="宋体" w:hAnsi="宋体" w:cs="宋体" w:hint="eastAsia"/>
          <w:b/>
          <w:bCs/>
          <w:sz w:val="30"/>
          <w:szCs w:val="30"/>
        </w:rPr>
        <w:t xml:space="preserve"> 三、项目组织实施情况</w:t>
      </w:r>
    </w:p>
    <w:p w:rsidR="00695C3E" w:rsidRDefault="00987F5C">
      <w:pPr>
        <w:spacing w:line="360" w:lineRule="auto"/>
        <w:rPr>
          <w:rFonts w:ascii="宋体" w:eastAsia="宋体" w:hAnsi="宋体" w:cs="宋体"/>
          <w:sz w:val="30"/>
          <w:szCs w:val="30"/>
        </w:rPr>
      </w:pPr>
      <w:r>
        <w:rPr>
          <w:rFonts w:ascii="宋体" w:eastAsia="宋体" w:hAnsi="宋体" w:cs="宋体" w:hint="eastAsia"/>
          <w:sz w:val="30"/>
          <w:szCs w:val="30"/>
        </w:rPr>
        <w:t xml:space="preserve">   （一）公路日常保洁与路域环境卫生、精准扶贫对接由乡镇、街道安排专职人员负责；小修项目则根据线路的实际情况并结合年初的整体计划及月度计划进行逐一安排，大部分项目属于小型项目，直接委托有经验的施工单位进行施工，超过区政府采购上限的项目，按照政府采购的相关要求执行，小修项目由</w:t>
      </w:r>
      <w:r>
        <w:rPr>
          <w:rFonts w:ascii="宋体" w:eastAsia="宋体" w:hAnsi="宋体" w:cs="宋体" w:hint="eastAsia"/>
          <w:sz w:val="30"/>
          <w:szCs w:val="30"/>
        </w:rPr>
        <w:lastRenderedPageBreak/>
        <w:t>计划统计部下达月度计划，实施全过程由公路养护部负责组织，小修项目完工后，由养护部组织相关科室验收并结算。</w:t>
      </w:r>
    </w:p>
    <w:p w:rsidR="00695C3E" w:rsidRDefault="00987F5C">
      <w:pPr>
        <w:spacing w:line="360" w:lineRule="auto"/>
        <w:rPr>
          <w:rFonts w:ascii="宋体" w:eastAsia="宋体" w:hAnsi="宋体" w:cs="宋体"/>
          <w:sz w:val="30"/>
          <w:szCs w:val="30"/>
        </w:rPr>
      </w:pPr>
      <w:r>
        <w:rPr>
          <w:rFonts w:ascii="宋体" w:eastAsia="宋体" w:hAnsi="宋体" w:cs="宋体" w:hint="eastAsia"/>
          <w:sz w:val="30"/>
          <w:szCs w:val="30"/>
        </w:rPr>
        <w:t xml:space="preserve">   （二）我单位直接负责的小修项目由养护部根据公路的实际情况及有关月计划下达任务单，并通过中心“三重一大”相关程序，集体研究择优安排有经验的施工单位组织实施，公路养护部按照相关的管理制度对小修项目的进度、质量和安全进行监管把关。</w:t>
      </w:r>
    </w:p>
    <w:p w:rsidR="00695C3E" w:rsidRDefault="00987F5C">
      <w:pPr>
        <w:spacing w:line="360" w:lineRule="auto"/>
        <w:ind w:firstLineChars="200" w:firstLine="602"/>
        <w:rPr>
          <w:rFonts w:ascii="宋体" w:eastAsia="宋体" w:hAnsi="宋体" w:cs="宋体"/>
          <w:b/>
          <w:bCs/>
          <w:sz w:val="30"/>
          <w:szCs w:val="30"/>
        </w:rPr>
      </w:pPr>
      <w:r>
        <w:rPr>
          <w:rFonts w:ascii="宋体" w:eastAsia="宋体" w:hAnsi="宋体" w:cs="宋体" w:hint="eastAsia"/>
          <w:b/>
          <w:bCs/>
          <w:sz w:val="30"/>
          <w:szCs w:val="30"/>
        </w:rPr>
        <w:t>四、项目产出完成情况</w:t>
      </w:r>
    </w:p>
    <w:p w:rsidR="00695C3E" w:rsidRDefault="00987F5C" w:rsidP="00591AB9">
      <w:pPr>
        <w:spacing w:line="360" w:lineRule="auto"/>
        <w:ind w:firstLineChars="100" w:firstLine="300"/>
        <w:rPr>
          <w:rFonts w:ascii="宋体" w:eastAsia="宋体" w:hAnsi="宋体" w:cs="宋体"/>
          <w:sz w:val="30"/>
          <w:szCs w:val="30"/>
        </w:rPr>
      </w:pPr>
      <w:r>
        <w:rPr>
          <w:rFonts w:ascii="宋体" w:eastAsia="宋体" w:hAnsi="宋体" w:cs="宋体" w:hint="eastAsia"/>
          <w:sz w:val="30"/>
          <w:szCs w:val="30"/>
        </w:rPr>
        <w:t xml:space="preserve">  严格按照小修保养实施计划，结合管养公路的实际情况，分批次下达任务单，组织有经验的专业队伍予以实施。在确保工程质量的前提下，保证实施的及时性和高效性。全年按照日常养护相关要求，及时完成养护任务，基本达到预期目标。</w:t>
      </w:r>
    </w:p>
    <w:p w:rsidR="00695C3E" w:rsidRDefault="00987F5C">
      <w:pPr>
        <w:spacing w:line="360" w:lineRule="auto"/>
        <w:ind w:firstLineChars="200" w:firstLine="602"/>
        <w:rPr>
          <w:rFonts w:ascii="宋体" w:eastAsia="宋体" w:hAnsi="宋体" w:cs="宋体"/>
          <w:b/>
          <w:bCs/>
          <w:sz w:val="30"/>
          <w:szCs w:val="30"/>
        </w:rPr>
      </w:pPr>
      <w:r>
        <w:rPr>
          <w:rFonts w:ascii="宋体" w:eastAsia="宋体" w:hAnsi="宋体" w:cs="宋体" w:hint="eastAsia"/>
          <w:b/>
          <w:bCs/>
          <w:sz w:val="30"/>
          <w:szCs w:val="30"/>
        </w:rPr>
        <w:t>五、项目绩效情况</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经济性上，农村公路日常养护实施后极大地改善农村公路的交通状况和通行能力，对促进当地经济发展、拉动旅游业发展、调整产业结构，加快沿线及周边地区脱贫致富奔小康步伐具有重大意义；效率性和有效性上，农村公路小修项目的实施严格按照公路养护技术规范，严把工程质量关，根据公路病害的时效性和不确定性，及时组织队伍进行处理，按照低耗高效的原则对项目进行监控，均达到了良好的效果；可持续性上，通过实施日常养护对减少交通事故、提高运输效率、保证人民生命财产安全，促进经济社会发展具有十分重要的作用。</w:t>
      </w:r>
    </w:p>
    <w:p w:rsidR="00695C3E" w:rsidRPr="00591AB9" w:rsidRDefault="00987F5C" w:rsidP="00591AB9">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lastRenderedPageBreak/>
        <w:t>农村公路日常维护经费使用合理、规范，项目设定符合政府为民办实事和民生工程规划，建立了一系列制度并得到执行，项目完成符合基本要求；养护项目的实施对全区乃至全市的经济社会发展、民生工作等均具有相当大的促进作用。</w:t>
      </w:r>
    </w:p>
    <w:p w:rsidR="00695C3E" w:rsidRDefault="00987F5C">
      <w:pPr>
        <w:spacing w:line="360" w:lineRule="auto"/>
        <w:ind w:firstLineChars="200" w:firstLine="602"/>
        <w:rPr>
          <w:rFonts w:ascii="宋体" w:eastAsia="宋体" w:hAnsi="宋体" w:cs="宋体"/>
          <w:b/>
          <w:bCs/>
          <w:sz w:val="30"/>
          <w:szCs w:val="30"/>
        </w:rPr>
      </w:pPr>
      <w:r>
        <w:rPr>
          <w:rFonts w:ascii="宋体" w:eastAsia="宋体" w:hAnsi="宋体" w:cs="宋体" w:hint="eastAsia"/>
          <w:b/>
          <w:bCs/>
          <w:sz w:val="30"/>
          <w:szCs w:val="30"/>
        </w:rPr>
        <w:t>六、其他需要说明的问题</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（一）存在的问题</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1、公路病害的季节性和不确定性造成绩效指标完成进度与目标进度有差距。</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2、部分信息公开不够及时，部分预决算信息虽然完整准确，但没有实时公开。</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（二）整改措施</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1、适当调整项目实施目标，确保年终绩效目标按时完成。</w:t>
      </w:r>
    </w:p>
    <w:p w:rsidR="00695C3E" w:rsidRDefault="00987F5C">
      <w:pPr>
        <w:spacing w:line="360" w:lineRule="auto"/>
        <w:ind w:firstLineChars="200" w:firstLine="600"/>
        <w:rPr>
          <w:rFonts w:ascii="宋体" w:eastAsia="宋体" w:hAnsi="宋体" w:cs="宋体"/>
          <w:sz w:val="30"/>
          <w:szCs w:val="30"/>
        </w:rPr>
      </w:pPr>
      <w:r>
        <w:rPr>
          <w:rFonts w:ascii="宋体" w:eastAsia="宋体" w:hAnsi="宋体" w:cs="宋体" w:hint="eastAsia"/>
          <w:sz w:val="30"/>
          <w:szCs w:val="30"/>
        </w:rPr>
        <w:t>2、实施公开相关信息，预决算信息公开是保障人民群众民主权利的客观需要，是有效防止腐败的重要举措，是对财政公权力进行监督的有效途径，应加强领导组织，确保项目实施信息的透明度。</w:t>
      </w:r>
    </w:p>
    <w:p w:rsidR="00695C3E" w:rsidRDefault="00695C3E">
      <w:pPr>
        <w:spacing w:line="360" w:lineRule="auto"/>
      </w:pPr>
    </w:p>
    <w:sectPr w:rsidR="00695C3E" w:rsidSect="00695C3E">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4EC9" w:rsidRDefault="007B4EC9" w:rsidP="00591AB9">
      <w:pPr>
        <w:spacing w:after="0"/>
      </w:pPr>
      <w:r>
        <w:separator/>
      </w:r>
    </w:p>
  </w:endnote>
  <w:endnote w:type="continuationSeparator" w:id="1">
    <w:p w:rsidR="007B4EC9" w:rsidRDefault="007B4EC9" w:rsidP="00591AB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00" w:usb3="00000000" w:csb0="00040000" w:csb1="00000000"/>
  </w:font>
  <w:font w:name="仿宋_GB2312">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4EC9" w:rsidRDefault="007B4EC9" w:rsidP="00591AB9">
      <w:pPr>
        <w:spacing w:after="0"/>
      </w:pPr>
      <w:r>
        <w:separator/>
      </w:r>
    </w:p>
  </w:footnote>
  <w:footnote w:type="continuationSeparator" w:id="1">
    <w:p w:rsidR="007B4EC9" w:rsidRDefault="007B4EC9" w:rsidP="00591AB9">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4098"/>
  </w:hdrShapeDefaults>
  <w:footnotePr>
    <w:footnote w:id="0"/>
    <w:footnote w:id="1"/>
  </w:footnotePr>
  <w:endnotePr>
    <w:endnote w:id="0"/>
    <w:endnote w:id="1"/>
  </w:endnotePr>
  <w:compat>
    <w:useFELayout/>
  </w:compat>
  <w:rsids>
    <w:rsidRoot w:val="00D31D50"/>
    <w:rsid w:val="000A10B0"/>
    <w:rsid w:val="00157D64"/>
    <w:rsid w:val="001754E1"/>
    <w:rsid w:val="00323B43"/>
    <w:rsid w:val="003D37D8"/>
    <w:rsid w:val="00426133"/>
    <w:rsid w:val="004358AB"/>
    <w:rsid w:val="00591AB9"/>
    <w:rsid w:val="00695C3E"/>
    <w:rsid w:val="007B4EC9"/>
    <w:rsid w:val="00875D32"/>
    <w:rsid w:val="008B7726"/>
    <w:rsid w:val="0092697B"/>
    <w:rsid w:val="00987F5C"/>
    <w:rsid w:val="00D31D50"/>
    <w:rsid w:val="00F32853"/>
    <w:rsid w:val="3F8B6D59"/>
    <w:rsid w:val="7103058D"/>
    <w:rsid w:val="719B4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5C3E"/>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695C3E"/>
    <w:pPr>
      <w:tabs>
        <w:tab w:val="center" w:pos="4153"/>
        <w:tab w:val="right" w:pos="8306"/>
      </w:tabs>
    </w:pPr>
    <w:rPr>
      <w:sz w:val="18"/>
      <w:szCs w:val="18"/>
    </w:rPr>
  </w:style>
  <w:style w:type="paragraph" w:styleId="a4">
    <w:name w:val="header"/>
    <w:basedOn w:val="a"/>
    <w:link w:val="Char0"/>
    <w:uiPriority w:val="99"/>
    <w:semiHidden/>
    <w:unhideWhenUsed/>
    <w:qFormat/>
    <w:rsid w:val="00695C3E"/>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semiHidden/>
    <w:qFormat/>
    <w:rsid w:val="00695C3E"/>
    <w:rPr>
      <w:rFonts w:ascii="Tahoma" w:hAnsi="Tahoma"/>
      <w:sz w:val="18"/>
      <w:szCs w:val="18"/>
    </w:rPr>
  </w:style>
  <w:style w:type="character" w:customStyle="1" w:styleId="Char">
    <w:name w:val="页脚 Char"/>
    <w:basedOn w:val="a0"/>
    <w:link w:val="a3"/>
    <w:uiPriority w:val="99"/>
    <w:semiHidden/>
    <w:rsid w:val="00695C3E"/>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478</Words>
  <Characters>2727</Characters>
  <Application>Microsoft Office Word</Application>
  <DocSecurity>0</DocSecurity>
  <Lines>22</Lines>
  <Paragraphs>6</Paragraphs>
  <ScaleCrop>false</ScaleCrop>
  <Company/>
  <LinksUpToDate>false</LinksUpToDate>
  <CharactersWithSpaces>3199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7</cp:revision>
  <dcterms:created xsi:type="dcterms:W3CDTF">2008-09-11T17:20:00Z</dcterms:created>
  <dcterms:modified xsi:type="dcterms:W3CDTF">2021-05-15T03:35:00Z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