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32D" w:rsidRDefault="00A60657">
      <w:pPr>
        <w:spacing w:line="600" w:lineRule="exact"/>
        <w:rPr>
          <w:rFonts w:ascii="Times New Roman" w:eastAsia="楷体_GB2312" w:hAnsi="Times New Roman"/>
        </w:rPr>
      </w:pPr>
      <w:r>
        <w:rPr>
          <w:rFonts w:ascii="Times New Roman" w:eastAsia="楷体_GB2312" w:hAnsi="Times New Roman" w:hint="eastAsia"/>
        </w:rPr>
        <w:t>附件</w:t>
      </w:r>
      <w:r>
        <w:rPr>
          <w:rFonts w:ascii="Times New Roman" w:eastAsia="楷体_GB2312" w:hAnsi="Times New Roman" w:hint="eastAsia"/>
        </w:rPr>
        <w:t>4</w:t>
      </w:r>
    </w:p>
    <w:p w:rsidR="00E6032D" w:rsidRDefault="00A60657">
      <w:pPr>
        <w:widowControl/>
        <w:spacing w:line="240" w:lineRule="auto"/>
        <w:ind w:left="91"/>
        <w:jc w:val="center"/>
        <w:rPr>
          <w:rFonts w:ascii="Times New Roman" w:eastAsia="方正小标宋简体" w:hAnsi="Times New Roman"/>
          <w:kern w:val="0"/>
          <w:sz w:val="44"/>
          <w:szCs w:val="44"/>
        </w:rPr>
      </w:pPr>
      <w:r>
        <w:rPr>
          <w:rFonts w:ascii="Times New Roman" w:eastAsia="方正小标宋简体" w:hAnsi="Times New Roman" w:hint="eastAsia"/>
          <w:kern w:val="0"/>
          <w:sz w:val="44"/>
          <w:szCs w:val="44"/>
          <w:u w:val="single"/>
        </w:rPr>
        <w:t>区环保局</w:t>
      </w:r>
      <w:r>
        <w:rPr>
          <w:rFonts w:ascii="Times New Roman" w:eastAsia="方正小标宋简体" w:hAnsi="Times New Roman" w:hint="eastAsia"/>
          <w:kern w:val="0"/>
          <w:sz w:val="44"/>
          <w:szCs w:val="44"/>
        </w:rPr>
        <w:t>部门整体支出绩效评价自评表</w:t>
      </w:r>
    </w:p>
    <w:tbl>
      <w:tblPr>
        <w:tblW w:w="10392" w:type="dxa"/>
        <w:jc w:val="center"/>
        <w:tblLayout w:type="fixed"/>
        <w:tblLook w:val="04A0"/>
      </w:tblPr>
      <w:tblGrid>
        <w:gridCol w:w="648"/>
        <w:gridCol w:w="416"/>
        <w:gridCol w:w="673"/>
        <w:gridCol w:w="416"/>
        <w:gridCol w:w="1072"/>
        <w:gridCol w:w="416"/>
        <w:gridCol w:w="2200"/>
        <w:gridCol w:w="2205"/>
        <w:gridCol w:w="825"/>
        <w:gridCol w:w="1521"/>
      </w:tblGrid>
      <w:tr w:rsidR="00E6032D">
        <w:trPr>
          <w:trHeight w:val="955"/>
          <w:tblHeader/>
          <w:jc w:val="center"/>
        </w:trPr>
        <w:tc>
          <w:tcPr>
            <w:tcW w:w="648" w:type="dxa"/>
            <w:tcBorders>
              <w:top w:val="single" w:sz="4" w:space="0" w:color="auto"/>
              <w:left w:val="single" w:sz="4" w:space="0" w:color="auto"/>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一级指标</w:t>
            </w:r>
          </w:p>
        </w:tc>
        <w:tc>
          <w:tcPr>
            <w:tcW w:w="416"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673"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二级指标</w:t>
            </w:r>
          </w:p>
        </w:tc>
        <w:tc>
          <w:tcPr>
            <w:tcW w:w="416"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1072"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三级</w:t>
            </w:r>
          </w:p>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指标</w:t>
            </w:r>
          </w:p>
        </w:tc>
        <w:tc>
          <w:tcPr>
            <w:tcW w:w="416"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分值</w:t>
            </w:r>
          </w:p>
        </w:tc>
        <w:tc>
          <w:tcPr>
            <w:tcW w:w="2200"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评价标准</w:t>
            </w:r>
          </w:p>
        </w:tc>
        <w:tc>
          <w:tcPr>
            <w:tcW w:w="2205"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指标说明</w:t>
            </w:r>
          </w:p>
        </w:tc>
        <w:tc>
          <w:tcPr>
            <w:tcW w:w="825"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得分</w:t>
            </w:r>
          </w:p>
        </w:tc>
        <w:tc>
          <w:tcPr>
            <w:tcW w:w="1521" w:type="dxa"/>
            <w:tcBorders>
              <w:top w:val="single" w:sz="4" w:space="0" w:color="auto"/>
              <w:left w:val="nil"/>
              <w:bottom w:val="single" w:sz="4" w:space="0" w:color="auto"/>
              <w:right w:val="single" w:sz="4" w:space="0" w:color="auto"/>
            </w:tcBorders>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得分依据</w:t>
            </w:r>
          </w:p>
          <w:p w:rsidR="00E6032D" w:rsidRDefault="00E6032D">
            <w:pPr>
              <w:widowControl/>
              <w:spacing w:line="280" w:lineRule="exact"/>
              <w:jc w:val="center"/>
              <w:rPr>
                <w:rFonts w:ascii="Times New Roman" w:hAnsi="Times New Roman"/>
                <w:color w:val="FF0000"/>
                <w:kern w:val="0"/>
                <w:sz w:val="20"/>
                <w:szCs w:val="20"/>
              </w:rPr>
            </w:pPr>
          </w:p>
        </w:tc>
      </w:tr>
      <w:tr w:rsidR="00E6032D">
        <w:trPr>
          <w:jc w:val="center"/>
        </w:trPr>
        <w:tc>
          <w:tcPr>
            <w:tcW w:w="648" w:type="dxa"/>
            <w:vMerge w:val="restart"/>
            <w:tcBorders>
              <w:top w:val="nil"/>
              <w:left w:val="single" w:sz="4" w:space="0" w:color="auto"/>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投入</w:t>
            </w:r>
          </w:p>
        </w:tc>
        <w:tc>
          <w:tcPr>
            <w:tcW w:w="416"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预算配置</w:t>
            </w:r>
          </w:p>
        </w:tc>
        <w:tc>
          <w:tcPr>
            <w:tcW w:w="416"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在职人员控制率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0" w:type="dxa"/>
            <w:tcBorders>
              <w:top w:val="nil"/>
              <w:left w:val="nil"/>
              <w:bottom w:val="nil"/>
              <w:right w:val="nil"/>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以</w:t>
            </w:r>
            <w:r>
              <w:rPr>
                <w:rFonts w:ascii="Times New Roman" w:hAnsi="Times New Roman"/>
                <w:kern w:val="0"/>
                <w:sz w:val="20"/>
                <w:szCs w:val="20"/>
              </w:rPr>
              <w:t>100%</w:t>
            </w:r>
            <w:r>
              <w:rPr>
                <w:rFonts w:ascii="Times New Roman" w:hAnsi="Times New Roman" w:hint="eastAsia"/>
                <w:kern w:val="0"/>
                <w:sz w:val="20"/>
                <w:szCs w:val="20"/>
              </w:rPr>
              <w:t>为标准。在职人员控制率</w:t>
            </w:r>
            <w:r>
              <w:rPr>
                <w:rFonts w:ascii="宋体" w:eastAsia="宋体" w:hAnsi="宋体" w:cs="宋体" w:hint="eastAsia"/>
                <w:kern w:val="0"/>
                <w:sz w:val="20"/>
                <w:szCs w:val="20"/>
              </w:rPr>
              <w:t>≦</w:t>
            </w:r>
            <w:r>
              <w:rPr>
                <w:rFonts w:ascii="Times New Roman" w:hAnsi="Times New Roman"/>
                <w:kern w:val="0"/>
                <w:sz w:val="20"/>
                <w:szCs w:val="20"/>
              </w:rPr>
              <w:t>100%</w:t>
            </w:r>
            <w:r>
              <w:rPr>
                <w:rFonts w:ascii="Times New Roman" w:hAnsi="Times New Roman" w:hint="eastAsia"/>
                <w:kern w:val="0"/>
                <w:sz w:val="20"/>
                <w:szCs w:val="20"/>
              </w:rPr>
              <w:t>，计</w:t>
            </w:r>
            <w:r>
              <w:rPr>
                <w:rFonts w:ascii="Times New Roman" w:hAnsi="Times New Roman"/>
                <w:kern w:val="0"/>
                <w:sz w:val="20"/>
                <w:szCs w:val="20"/>
              </w:rPr>
              <w:t>5</w:t>
            </w:r>
            <w:r>
              <w:rPr>
                <w:rFonts w:ascii="Times New Roman" w:hAnsi="Times New Roman" w:hint="eastAsia"/>
                <w:kern w:val="0"/>
                <w:sz w:val="20"/>
                <w:szCs w:val="20"/>
              </w:rPr>
              <w:t>分；每超过一个百分点扣</w:t>
            </w:r>
            <w:r>
              <w:rPr>
                <w:rFonts w:ascii="Times New Roman" w:hAnsi="Times New Roman"/>
                <w:kern w:val="0"/>
                <w:sz w:val="20"/>
                <w:szCs w:val="20"/>
              </w:rPr>
              <w:t>0.5</w:t>
            </w:r>
            <w:r>
              <w:rPr>
                <w:rFonts w:ascii="Times New Roman" w:hAnsi="Times New Roman" w:hint="eastAsia"/>
                <w:kern w:val="0"/>
                <w:sz w:val="20"/>
                <w:szCs w:val="20"/>
              </w:rPr>
              <w:t>分，扣完为止。</w:t>
            </w:r>
          </w:p>
        </w:tc>
        <w:tc>
          <w:tcPr>
            <w:tcW w:w="2205" w:type="dxa"/>
            <w:tcBorders>
              <w:top w:val="nil"/>
              <w:left w:val="single" w:sz="4" w:space="0" w:color="auto"/>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在职人员控制率</w:t>
            </w:r>
            <w:r>
              <w:rPr>
                <w:rFonts w:ascii="Times New Roman" w:hAnsi="Times New Roman"/>
                <w:kern w:val="0"/>
                <w:sz w:val="20"/>
                <w:szCs w:val="20"/>
              </w:rPr>
              <w:t>=</w:t>
            </w:r>
            <w:r>
              <w:rPr>
                <w:rFonts w:ascii="Times New Roman" w:hAnsi="Times New Roman" w:hint="eastAsia"/>
                <w:kern w:val="0"/>
                <w:sz w:val="20"/>
                <w:szCs w:val="20"/>
              </w:rPr>
              <w:t>（在职人员数</w:t>
            </w:r>
            <w:r>
              <w:rPr>
                <w:rFonts w:ascii="Times New Roman" w:hAnsi="Times New Roman"/>
                <w:kern w:val="0"/>
                <w:sz w:val="20"/>
                <w:szCs w:val="20"/>
              </w:rPr>
              <w:t>/</w:t>
            </w:r>
            <w:r>
              <w:rPr>
                <w:rFonts w:ascii="Times New Roman" w:hAnsi="Times New Roman" w:hint="eastAsia"/>
                <w:kern w:val="0"/>
                <w:sz w:val="20"/>
                <w:szCs w:val="20"/>
              </w:rPr>
              <w:t>编制数）</w:t>
            </w:r>
            <w:r>
              <w:rPr>
                <w:rFonts w:ascii="Times New Roman" w:hAnsi="Times New Roman"/>
                <w:kern w:val="0"/>
                <w:sz w:val="20"/>
                <w:szCs w:val="20"/>
              </w:rPr>
              <w:t>×100%</w:t>
            </w:r>
            <w:r>
              <w:rPr>
                <w:rFonts w:ascii="Times New Roman" w:hAnsi="Times New Roman" w:hint="eastAsia"/>
                <w:kern w:val="0"/>
                <w:sz w:val="20"/>
                <w:szCs w:val="20"/>
              </w:rPr>
              <w:t>，在职人员数：部门（单位）实际在职人数。</w:t>
            </w:r>
          </w:p>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编制数：机构编制部门核定批复的部门（单位）的人员编制数。</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0</w:t>
            </w:r>
          </w:p>
        </w:tc>
        <w:tc>
          <w:tcPr>
            <w:tcW w:w="1521" w:type="dxa"/>
            <w:tcBorders>
              <w:top w:val="nil"/>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0"/>
                <w:szCs w:val="20"/>
              </w:rPr>
              <w:t>在职</w:t>
            </w:r>
            <w:r>
              <w:rPr>
                <w:rFonts w:ascii="Times New Roman" w:hAnsi="Times New Roman" w:hint="eastAsia"/>
                <w:kern w:val="0"/>
                <w:sz w:val="20"/>
                <w:szCs w:val="20"/>
              </w:rPr>
              <w:t>91</w:t>
            </w:r>
            <w:r>
              <w:rPr>
                <w:rFonts w:ascii="Times New Roman" w:hAnsi="Times New Roman" w:hint="eastAsia"/>
                <w:kern w:val="0"/>
                <w:sz w:val="20"/>
                <w:szCs w:val="20"/>
              </w:rPr>
              <w:t>人（在编人数</w:t>
            </w:r>
            <w:r>
              <w:rPr>
                <w:rFonts w:ascii="Times New Roman" w:hAnsi="Times New Roman" w:hint="eastAsia"/>
                <w:kern w:val="0"/>
                <w:sz w:val="20"/>
                <w:szCs w:val="20"/>
              </w:rPr>
              <w:t>43</w:t>
            </w:r>
            <w:r>
              <w:rPr>
                <w:rFonts w:ascii="Times New Roman" w:hAnsi="Times New Roman" w:hint="eastAsia"/>
                <w:kern w:val="0"/>
                <w:sz w:val="20"/>
                <w:szCs w:val="20"/>
              </w:rPr>
              <w:t>人，政府雇员</w:t>
            </w:r>
            <w:r>
              <w:rPr>
                <w:rFonts w:ascii="Times New Roman" w:hAnsi="Times New Roman" w:hint="eastAsia"/>
                <w:kern w:val="0"/>
                <w:sz w:val="20"/>
                <w:szCs w:val="20"/>
              </w:rPr>
              <w:t>5</w:t>
            </w:r>
            <w:r>
              <w:rPr>
                <w:rFonts w:ascii="Times New Roman" w:hAnsi="Times New Roman" w:hint="eastAsia"/>
                <w:kern w:val="0"/>
                <w:sz w:val="20"/>
                <w:szCs w:val="20"/>
              </w:rPr>
              <w:t>人，临聘人员</w:t>
            </w:r>
            <w:r>
              <w:rPr>
                <w:rFonts w:ascii="Times New Roman" w:hAnsi="Times New Roman" w:hint="eastAsia"/>
                <w:kern w:val="0"/>
                <w:sz w:val="20"/>
                <w:szCs w:val="20"/>
              </w:rPr>
              <w:t>43</w:t>
            </w:r>
            <w:r>
              <w:rPr>
                <w:rFonts w:ascii="Times New Roman" w:hAnsi="Times New Roman" w:hint="eastAsia"/>
                <w:kern w:val="0"/>
                <w:sz w:val="20"/>
                <w:szCs w:val="20"/>
              </w:rPr>
              <w:t>人），编制数</w:t>
            </w:r>
            <w:r>
              <w:rPr>
                <w:rFonts w:ascii="Times New Roman" w:hAnsi="Times New Roman" w:hint="eastAsia"/>
                <w:kern w:val="0"/>
                <w:sz w:val="20"/>
                <w:szCs w:val="20"/>
              </w:rPr>
              <w:t>38</w:t>
            </w:r>
            <w:r>
              <w:rPr>
                <w:rFonts w:ascii="Times New Roman" w:hAnsi="Times New Roman" w:hint="eastAsia"/>
                <w:kern w:val="0"/>
                <w:sz w:val="20"/>
                <w:szCs w:val="20"/>
              </w:rPr>
              <w:t>人，控制率</w:t>
            </w:r>
            <w:r>
              <w:rPr>
                <w:rFonts w:ascii="Times New Roman" w:hAnsi="Times New Roman" w:hint="eastAsia"/>
                <w:kern w:val="0"/>
                <w:sz w:val="20"/>
                <w:szCs w:val="20"/>
              </w:rPr>
              <w:t>239%</w:t>
            </w:r>
          </w:p>
        </w:tc>
      </w:tr>
      <w:tr w:rsidR="00E6032D">
        <w:trPr>
          <w:jc w:val="center"/>
        </w:trPr>
        <w:tc>
          <w:tcPr>
            <w:tcW w:w="648" w:type="dxa"/>
            <w:vMerge/>
            <w:tcBorders>
              <w:top w:val="nil"/>
              <w:left w:val="single" w:sz="4" w:space="0" w:color="auto"/>
              <w:bottom w:val="single" w:sz="4" w:space="0" w:color="auto"/>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673" w:type="dxa"/>
            <w:vMerge/>
            <w:tcBorders>
              <w:top w:val="nil"/>
              <w:left w:val="nil"/>
              <w:bottom w:val="single" w:sz="4" w:space="0" w:color="auto"/>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三公经费</w:t>
            </w:r>
          </w:p>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变动率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00" w:type="dxa"/>
            <w:tcBorders>
              <w:top w:val="single" w:sz="4" w:space="0" w:color="auto"/>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宋体" w:eastAsia="宋体" w:hAnsi="宋体" w:cs="宋体" w:hint="eastAsia"/>
                <w:kern w:val="0"/>
                <w:sz w:val="20"/>
                <w:szCs w:val="20"/>
              </w:rPr>
              <w:t>≦</w:t>
            </w:r>
            <w:r>
              <w:rPr>
                <w:rFonts w:ascii="Times New Roman" w:hAnsi="Times New Roman"/>
                <w:kern w:val="0"/>
                <w:sz w:val="20"/>
                <w:szCs w:val="20"/>
              </w:rPr>
              <w:t>0</w:t>
            </w:r>
            <w:r>
              <w:rPr>
                <w:rFonts w:ascii="Times New Roman" w:hAnsi="Times New Roman" w:hint="eastAsia"/>
                <w:kern w:val="0"/>
                <w:sz w:val="20"/>
                <w:szCs w:val="20"/>
              </w:rPr>
              <w:t>，计</w:t>
            </w:r>
            <w:r>
              <w:rPr>
                <w:rFonts w:ascii="Times New Roman" w:hAnsi="Times New Roman"/>
                <w:kern w:val="0"/>
                <w:sz w:val="20"/>
                <w:szCs w:val="20"/>
              </w:rPr>
              <w:t>8</w:t>
            </w:r>
            <w:r>
              <w:rPr>
                <w:rFonts w:ascii="Times New Roman" w:hAnsi="Times New Roman" w:hint="eastAsia"/>
                <w:kern w:val="0"/>
                <w:sz w:val="20"/>
                <w:szCs w:val="20"/>
              </w:rPr>
              <w:t>分；</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w:t>
            </w:r>
            <w:r>
              <w:rPr>
                <w:rFonts w:ascii="Times New Roman" w:hAnsi="Times New Roman"/>
                <w:kern w:val="0"/>
                <w:sz w:val="20"/>
                <w:szCs w:val="20"/>
              </w:rPr>
              <w:t>0</w:t>
            </w:r>
            <w:r>
              <w:rPr>
                <w:rFonts w:ascii="Times New Roman" w:hAnsi="Times New Roman" w:hint="eastAsia"/>
                <w:kern w:val="0"/>
                <w:sz w:val="20"/>
                <w:szCs w:val="20"/>
              </w:rPr>
              <w:t>，每超过一个百分点扣</w:t>
            </w:r>
            <w:r>
              <w:rPr>
                <w:rFonts w:ascii="Times New Roman" w:hAnsi="Times New Roman"/>
                <w:kern w:val="0"/>
                <w:sz w:val="20"/>
                <w:szCs w:val="20"/>
              </w:rPr>
              <w:t>0.8</w:t>
            </w:r>
            <w:r>
              <w:rPr>
                <w:rFonts w:ascii="Times New Roman" w:hAnsi="Times New Roman" w:hint="eastAsia"/>
                <w:kern w:val="0"/>
                <w:sz w:val="20"/>
                <w:szCs w:val="20"/>
              </w:rPr>
              <w:t>分，扣完为止。</w:t>
            </w:r>
          </w:p>
        </w:tc>
        <w:tc>
          <w:tcPr>
            <w:tcW w:w="2205"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变动率</w:t>
            </w:r>
            <w:r>
              <w:rPr>
                <w:rFonts w:ascii="Times New Roman" w:hAnsi="Times New Roman"/>
                <w:kern w:val="0"/>
                <w:sz w:val="20"/>
                <w:szCs w:val="20"/>
              </w:rPr>
              <w:t>=[</w:t>
            </w:r>
            <w:r>
              <w:rPr>
                <w:rFonts w:ascii="Times New Roman" w:hAnsi="Times New Roman" w:hint="eastAsia"/>
                <w:kern w:val="0"/>
                <w:sz w:val="20"/>
                <w:szCs w:val="20"/>
              </w:rPr>
              <w:t>（本年度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w:t>
            </w:r>
            <w:r>
              <w:rPr>
                <w:rFonts w:ascii="Times New Roman" w:hAnsi="Times New Roman" w:hint="eastAsia"/>
                <w:kern w:val="0"/>
                <w:sz w:val="20"/>
                <w:szCs w:val="20"/>
              </w:rPr>
              <w:t>上年度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w:t>
            </w:r>
            <w:r>
              <w:rPr>
                <w:rFonts w:ascii="Times New Roman" w:hAnsi="Times New Roman" w:hint="eastAsia"/>
                <w:kern w:val="0"/>
                <w:sz w:val="20"/>
                <w:szCs w:val="20"/>
              </w:rPr>
              <w:t>上年度</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]×100%</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8</w:t>
            </w:r>
          </w:p>
        </w:tc>
        <w:tc>
          <w:tcPr>
            <w:tcW w:w="1521" w:type="dxa"/>
            <w:tcBorders>
              <w:top w:val="nil"/>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三公经费预算数比上年略有下降</w:t>
            </w:r>
          </w:p>
        </w:tc>
      </w:tr>
      <w:tr w:rsidR="00E6032D">
        <w:trPr>
          <w:jc w:val="center"/>
        </w:trPr>
        <w:tc>
          <w:tcPr>
            <w:tcW w:w="648"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过程</w:t>
            </w:r>
          </w:p>
        </w:tc>
        <w:tc>
          <w:tcPr>
            <w:tcW w:w="416"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预算执行</w:t>
            </w:r>
          </w:p>
        </w:tc>
        <w:tc>
          <w:tcPr>
            <w:tcW w:w="416"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w:t>
            </w:r>
          </w:p>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完成率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0"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计满分，每低于</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2205"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预算完成率</w:t>
            </w:r>
            <w:r>
              <w:rPr>
                <w:rFonts w:ascii="Times New Roman" w:hAnsi="Times New Roman"/>
                <w:kern w:val="0"/>
                <w:sz w:val="20"/>
                <w:szCs w:val="20"/>
              </w:rPr>
              <w:t>=</w:t>
            </w:r>
            <w:r>
              <w:rPr>
                <w:rFonts w:ascii="Times New Roman" w:hAnsi="Times New Roman" w:hint="eastAsia"/>
                <w:kern w:val="0"/>
                <w:sz w:val="20"/>
                <w:szCs w:val="20"/>
              </w:rPr>
              <w:t>（上年结转</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w:t>
            </w:r>
            <w:r>
              <w:rPr>
                <w:rFonts w:ascii="Times New Roman" w:hAnsi="Times New Roman" w:hint="eastAsia"/>
                <w:kern w:val="0"/>
                <w:sz w:val="20"/>
                <w:szCs w:val="20"/>
              </w:rPr>
              <w:t>年末结余</w:t>
            </w:r>
            <w:r>
              <w:rPr>
                <w:rFonts w:ascii="Times New Roman" w:hAnsi="Times New Roman"/>
                <w:kern w:val="0"/>
                <w:sz w:val="20"/>
                <w:szCs w:val="20"/>
              </w:rPr>
              <w:t>/</w:t>
            </w:r>
            <w:r>
              <w:rPr>
                <w:rFonts w:ascii="Times New Roman" w:hAnsi="Times New Roman" w:hint="eastAsia"/>
                <w:kern w:val="0"/>
                <w:sz w:val="20"/>
                <w:szCs w:val="20"/>
              </w:rPr>
              <w:t>上年结转</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×100%</w:t>
            </w:r>
            <w:r>
              <w:rPr>
                <w:rFonts w:ascii="Times New Roman" w:hAnsi="Times New Roman" w:hint="eastAsia"/>
                <w:kern w:val="0"/>
                <w:sz w:val="20"/>
                <w:szCs w:val="20"/>
              </w:rPr>
              <w:t>。</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1521" w:type="dxa"/>
            <w:tcBorders>
              <w:top w:val="nil"/>
              <w:left w:val="nil"/>
              <w:bottom w:val="single" w:sz="4" w:space="0" w:color="auto"/>
              <w:right w:val="single" w:sz="4" w:space="0" w:color="auto"/>
            </w:tcBorders>
          </w:tcPr>
          <w:p w:rsidR="00E6032D" w:rsidRDefault="00E6032D">
            <w:pPr>
              <w:widowControl/>
              <w:spacing w:line="280" w:lineRule="exact"/>
              <w:jc w:val="left"/>
              <w:rPr>
                <w:rFonts w:hAnsi="仿宋_GB2312" w:cs="仿宋_GB2312"/>
                <w:kern w:val="0"/>
                <w:sz w:val="20"/>
                <w:szCs w:val="20"/>
              </w:rPr>
            </w:pPr>
          </w:p>
          <w:p w:rsidR="00E6032D" w:rsidRDefault="00E6032D">
            <w:pPr>
              <w:widowControl/>
              <w:spacing w:line="280" w:lineRule="exact"/>
              <w:jc w:val="left"/>
              <w:rPr>
                <w:rFonts w:hAnsi="仿宋_GB2312" w:cs="仿宋_GB2312"/>
                <w:kern w:val="0"/>
                <w:sz w:val="20"/>
                <w:szCs w:val="20"/>
              </w:rPr>
            </w:pPr>
          </w:p>
          <w:p w:rsidR="00E6032D" w:rsidRDefault="00A60657">
            <w:pPr>
              <w:widowControl/>
              <w:spacing w:line="280" w:lineRule="exact"/>
              <w:jc w:val="left"/>
              <w:rPr>
                <w:rFonts w:ascii="Times New Roman" w:hAnsi="Times New Roman"/>
                <w:kern w:val="0"/>
                <w:sz w:val="24"/>
                <w:szCs w:val="24"/>
              </w:rPr>
            </w:pPr>
            <w:r>
              <w:rPr>
                <w:rFonts w:hAnsi="仿宋_GB2312" w:cs="仿宋_GB2312" w:hint="eastAsia"/>
                <w:kern w:val="0"/>
                <w:sz w:val="20"/>
                <w:szCs w:val="20"/>
              </w:rPr>
              <w:t>预算完成率为</w:t>
            </w:r>
            <w:r>
              <w:rPr>
                <w:rFonts w:hAnsi="仿宋_GB2312" w:cs="仿宋_GB2312" w:hint="eastAsia"/>
                <w:kern w:val="0"/>
                <w:sz w:val="20"/>
                <w:szCs w:val="20"/>
              </w:rPr>
              <w:t>100%</w:t>
            </w:r>
          </w:p>
        </w:tc>
      </w:tr>
      <w:tr w:rsidR="00E6032D">
        <w:trPr>
          <w:trHeight w:val="973"/>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w:t>
            </w:r>
          </w:p>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0"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预算控制率</w:t>
            </w:r>
            <w:r>
              <w:rPr>
                <w:rFonts w:ascii="Times New Roman" w:hAnsi="Times New Roman"/>
                <w:kern w:val="0"/>
                <w:sz w:val="20"/>
                <w:szCs w:val="20"/>
              </w:rPr>
              <w:t>=0</w:t>
            </w:r>
            <w:r>
              <w:rPr>
                <w:rFonts w:ascii="Times New Roman" w:hAnsi="Times New Roman" w:hint="eastAsia"/>
                <w:kern w:val="0"/>
                <w:sz w:val="20"/>
                <w:szCs w:val="20"/>
              </w:rPr>
              <w:t>，计</w:t>
            </w:r>
            <w:r>
              <w:rPr>
                <w:rFonts w:ascii="Times New Roman" w:hAnsi="Times New Roman"/>
                <w:kern w:val="0"/>
                <w:sz w:val="20"/>
                <w:szCs w:val="20"/>
              </w:rPr>
              <w:t>5</w:t>
            </w:r>
            <w:r>
              <w:rPr>
                <w:rFonts w:ascii="Times New Roman" w:hAnsi="Times New Roman" w:hint="eastAsia"/>
                <w:kern w:val="0"/>
                <w:sz w:val="20"/>
                <w:szCs w:val="20"/>
              </w:rPr>
              <w:t>分；</w:t>
            </w:r>
            <w:r>
              <w:rPr>
                <w:rFonts w:ascii="Times New Roman" w:hAnsi="Times New Roman"/>
                <w:kern w:val="0"/>
                <w:sz w:val="20"/>
                <w:szCs w:val="20"/>
              </w:rPr>
              <w:t>0-10%</w:t>
            </w:r>
            <w:r>
              <w:rPr>
                <w:rFonts w:ascii="Times New Roman" w:hAnsi="Times New Roman" w:hint="eastAsia"/>
                <w:kern w:val="0"/>
                <w:sz w:val="20"/>
                <w:szCs w:val="20"/>
              </w:rPr>
              <w:t>（含），计</w:t>
            </w:r>
            <w:r>
              <w:rPr>
                <w:rFonts w:ascii="Times New Roman" w:hAnsi="Times New Roman"/>
                <w:kern w:val="0"/>
                <w:sz w:val="20"/>
                <w:szCs w:val="20"/>
              </w:rPr>
              <w:t>4</w:t>
            </w:r>
            <w:r>
              <w:rPr>
                <w:rFonts w:ascii="Times New Roman" w:hAnsi="Times New Roman" w:hint="eastAsia"/>
                <w:kern w:val="0"/>
                <w:sz w:val="20"/>
                <w:szCs w:val="20"/>
              </w:rPr>
              <w:t>分；</w:t>
            </w:r>
            <w:r>
              <w:rPr>
                <w:rFonts w:ascii="Times New Roman" w:hAnsi="Times New Roman"/>
                <w:kern w:val="0"/>
                <w:sz w:val="20"/>
                <w:szCs w:val="20"/>
              </w:rPr>
              <w:t>10-20%</w:t>
            </w:r>
            <w:r>
              <w:rPr>
                <w:rFonts w:ascii="Times New Roman" w:hAnsi="Times New Roman" w:hint="eastAsia"/>
                <w:kern w:val="0"/>
                <w:sz w:val="20"/>
                <w:szCs w:val="20"/>
              </w:rPr>
              <w:t>（含），计</w:t>
            </w:r>
            <w:r>
              <w:rPr>
                <w:rFonts w:ascii="Times New Roman" w:hAnsi="Times New Roman"/>
                <w:kern w:val="0"/>
                <w:sz w:val="20"/>
                <w:szCs w:val="20"/>
              </w:rPr>
              <w:t>3</w:t>
            </w:r>
            <w:r>
              <w:rPr>
                <w:rFonts w:ascii="Times New Roman" w:hAnsi="Times New Roman" w:hint="eastAsia"/>
                <w:kern w:val="0"/>
                <w:sz w:val="20"/>
                <w:szCs w:val="20"/>
              </w:rPr>
              <w:t>分；</w:t>
            </w:r>
            <w:r>
              <w:rPr>
                <w:rFonts w:ascii="Times New Roman" w:hAnsi="Times New Roman"/>
                <w:kern w:val="0"/>
                <w:sz w:val="20"/>
                <w:szCs w:val="20"/>
              </w:rPr>
              <w:t>20-30%</w:t>
            </w:r>
            <w:r>
              <w:rPr>
                <w:rFonts w:ascii="Times New Roman" w:hAnsi="Times New Roman" w:hint="eastAsia"/>
                <w:kern w:val="0"/>
                <w:sz w:val="20"/>
                <w:szCs w:val="20"/>
              </w:rPr>
              <w:t>（含），计</w:t>
            </w:r>
            <w:r>
              <w:rPr>
                <w:rFonts w:ascii="Times New Roman" w:hAnsi="Times New Roman"/>
                <w:kern w:val="0"/>
                <w:sz w:val="20"/>
                <w:szCs w:val="20"/>
              </w:rPr>
              <w:t>2</w:t>
            </w:r>
            <w:r>
              <w:rPr>
                <w:rFonts w:ascii="Times New Roman" w:hAnsi="Times New Roman" w:hint="eastAsia"/>
                <w:kern w:val="0"/>
                <w:sz w:val="20"/>
                <w:szCs w:val="20"/>
              </w:rPr>
              <w:t>分；大于</w:t>
            </w:r>
            <w:r>
              <w:rPr>
                <w:rFonts w:ascii="Times New Roman" w:hAnsi="Times New Roman"/>
                <w:kern w:val="0"/>
                <w:sz w:val="20"/>
                <w:szCs w:val="20"/>
              </w:rPr>
              <w:t>30%</w:t>
            </w:r>
            <w:r>
              <w:rPr>
                <w:rFonts w:ascii="Times New Roman" w:hAnsi="Times New Roman" w:hint="eastAsia"/>
                <w:kern w:val="0"/>
                <w:sz w:val="20"/>
                <w:szCs w:val="20"/>
              </w:rPr>
              <w:t>不得分</w:t>
            </w:r>
          </w:p>
        </w:tc>
        <w:tc>
          <w:tcPr>
            <w:tcW w:w="2205"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预算控制率</w:t>
            </w:r>
            <w:r>
              <w:rPr>
                <w:rFonts w:ascii="Times New Roman" w:hAnsi="Times New Roman"/>
                <w:kern w:val="0"/>
                <w:sz w:val="20"/>
                <w:szCs w:val="20"/>
              </w:rPr>
              <w:t>=</w:t>
            </w:r>
            <w:r>
              <w:rPr>
                <w:rFonts w:ascii="Times New Roman" w:hAnsi="Times New Roman" w:hint="eastAsia"/>
                <w:kern w:val="0"/>
                <w:sz w:val="20"/>
                <w:szCs w:val="20"/>
              </w:rPr>
              <w:t>（本年追加预算</w:t>
            </w:r>
            <w:r>
              <w:rPr>
                <w:rFonts w:ascii="Times New Roman" w:hAnsi="Times New Roman"/>
                <w:kern w:val="0"/>
                <w:sz w:val="20"/>
                <w:szCs w:val="20"/>
              </w:rPr>
              <w:t>/</w:t>
            </w:r>
            <w:r>
              <w:rPr>
                <w:rFonts w:ascii="Times New Roman" w:hAnsi="Times New Roman" w:hint="eastAsia"/>
                <w:kern w:val="0"/>
                <w:sz w:val="20"/>
                <w:szCs w:val="20"/>
              </w:rPr>
              <w:t>年初预算）</w:t>
            </w:r>
            <w:r>
              <w:rPr>
                <w:rFonts w:ascii="Times New Roman" w:hAnsi="Times New Roman"/>
                <w:kern w:val="0"/>
                <w:sz w:val="20"/>
                <w:szCs w:val="20"/>
              </w:rPr>
              <w:t>×100%</w:t>
            </w:r>
            <w:r>
              <w:rPr>
                <w:rFonts w:ascii="Times New Roman" w:hAnsi="Times New Roman" w:hint="eastAsia"/>
                <w:kern w:val="0"/>
                <w:sz w:val="20"/>
                <w:szCs w:val="20"/>
              </w:rPr>
              <w:t>。</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1521" w:type="dxa"/>
            <w:tcBorders>
              <w:top w:val="nil"/>
              <w:left w:val="nil"/>
              <w:bottom w:val="single" w:sz="4" w:space="0" w:color="auto"/>
              <w:right w:val="single" w:sz="4" w:space="0" w:color="auto"/>
            </w:tcBorders>
          </w:tcPr>
          <w:p w:rsidR="00E6032D" w:rsidRDefault="00E6032D">
            <w:pPr>
              <w:widowControl/>
              <w:spacing w:line="280" w:lineRule="exact"/>
              <w:jc w:val="left"/>
              <w:rPr>
                <w:rFonts w:hAnsi="仿宋_GB2312" w:cs="仿宋_GB2312"/>
                <w:kern w:val="0"/>
                <w:sz w:val="20"/>
                <w:szCs w:val="20"/>
              </w:rPr>
            </w:pPr>
          </w:p>
          <w:p w:rsidR="00E6032D" w:rsidRDefault="00E6032D">
            <w:pPr>
              <w:widowControl/>
              <w:spacing w:line="280" w:lineRule="exact"/>
              <w:jc w:val="left"/>
              <w:rPr>
                <w:rFonts w:hAnsi="仿宋_GB2312" w:cs="仿宋_GB2312"/>
                <w:kern w:val="0"/>
                <w:sz w:val="20"/>
                <w:szCs w:val="20"/>
              </w:rPr>
            </w:pPr>
          </w:p>
          <w:p w:rsidR="00E6032D" w:rsidRDefault="00A60657">
            <w:pPr>
              <w:widowControl/>
              <w:spacing w:line="280" w:lineRule="exact"/>
              <w:jc w:val="left"/>
              <w:rPr>
                <w:rFonts w:ascii="Times New Roman" w:hAnsi="Times New Roman"/>
                <w:kern w:val="0"/>
                <w:sz w:val="24"/>
                <w:szCs w:val="24"/>
              </w:rPr>
            </w:pPr>
            <w:r>
              <w:rPr>
                <w:rFonts w:hAnsi="仿宋_GB2312" w:cs="仿宋_GB2312" w:hint="eastAsia"/>
                <w:kern w:val="0"/>
                <w:sz w:val="20"/>
                <w:szCs w:val="20"/>
              </w:rPr>
              <w:t>预算控制率为</w:t>
            </w:r>
            <w:r>
              <w:rPr>
                <w:rFonts w:hAnsi="仿宋_GB2312" w:cs="仿宋_GB2312" w:hint="eastAsia"/>
                <w:kern w:val="0"/>
                <w:sz w:val="20"/>
                <w:szCs w:val="20"/>
              </w:rPr>
              <w:t>0</w:t>
            </w:r>
          </w:p>
        </w:tc>
      </w:tr>
      <w:tr w:rsidR="00E6032D">
        <w:trPr>
          <w:trHeight w:val="1160"/>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新建楼堂馆所面积控制率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0"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分，扣完为止。没有楼梯馆所项目的部门按满分计算</w:t>
            </w:r>
          </w:p>
        </w:tc>
        <w:tc>
          <w:tcPr>
            <w:tcW w:w="2205"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楼堂馆所面积控制率</w:t>
            </w:r>
            <w:r>
              <w:rPr>
                <w:rFonts w:ascii="Times New Roman" w:hAnsi="Times New Roman"/>
                <w:kern w:val="0"/>
                <w:sz w:val="20"/>
                <w:szCs w:val="20"/>
              </w:rPr>
              <w:t>=</w:t>
            </w:r>
            <w:r>
              <w:rPr>
                <w:rFonts w:ascii="Times New Roman" w:hAnsi="Times New Roman" w:hint="eastAsia"/>
                <w:kern w:val="0"/>
                <w:sz w:val="20"/>
                <w:szCs w:val="20"/>
              </w:rPr>
              <w:t>实际建设面积</w:t>
            </w:r>
            <w:r>
              <w:rPr>
                <w:rFonts w:ascii="Times New Roman" w:hAnsi="Times New Roman"/>
                <w:kern w:val="0"/>
                <w:sz w:val="20"/>
                <w:szCs w:val="20"/>
              </w:rPr>
              <w:t>/</w:t>
            </w:r>
            <w:r>
              <w:rPr>
                <w:rFonts w:ascii="Times New Roman" w:hAnsi="Times New Roman" w:hint="eastAsia"/>
                <w:kern w:val="0"/>
                <w:sz w:val="20"/>
                <w:szCs w:val="20"/>
              </w:rPr>
              <w:t>批准建设面积</w:t>
            </w:r>
            <w:r>
              <w:rPr>
                <w:rFonts w:ascii="Times New Roman" w:hAnsi="Times New Roman"/>
                <w:kern w:val="0"/>
                <w:sz w:val="20"/>
                <w:szCs w:val="20"/>
              </w:rPr>
              <w:t xml:space="preserve">×100% </w:t>
            </w:r>
            <w:r>
              <w:rPr>
                <w:rFonts w:ascii="Times New Roman" w:hAnsi="Times New Roman" w:hint="eastAsia"/>
                <w:kern w:val="0"/>
                <w:sz w:val="20"/>
                <w:szCs w:val="20"/>
              </w:rPr>
              <w:t>。</w:t>
            </w:r>
          </w:p>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该指标以</w:t>
            </w:r>
            <w:r>
              <w:rPr>
                <w:rFonts w:ascii="Times New Roman" w:hAnsi="Times New Roman"/>
                <w:kern w:val="0"/>
                <w:sz w:val="20"/>
                <w:szCs w:val="20"/>
              </w:rPr>
              <w:t>2014</w:t>
            </w:r>
            <w:r>
              <w:rPr>
                <w:rFonts w:ascii="Times New Roman" w:hAnsi="Times New Roman" w:hint="eastAsia"/>
                <w:kern w:val="0"/>
                <w:sz w:val="20"/>
                <w:szCs w:val="20"/>
              </w:rPr>
              <w:t>年完工的新建楼堂馆所为评价内容。</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1521" w:type="dxa"/>
            <w:tcBorders>
              <w:top w:val="nil"/>
              <w:left w:val="nil"/>
              <w:bottom w:val="single" w:sz="4" w:space="0" w:color="auto"/>
              <w:right w:val="single" w:sz="4" w:space="0" w:color="auto"/>
            </w:tcBorders>
          </w:tcPr>
          <w:p w:rsidR="00E6032D" w:rsidRDefault="00E6032D">
            <w:pPr>
              <w:widowControl/>
              <w:spacing w:line="280" w:lineRule="exact"/>
              <w:jc w:val="left"/>
              <w:rPr>
                <w:rFonts w:hAnsi="仿宋_GB2312" w:cs="仿宋_GB2312"/>
                <w:kern w:val="0"/>
                <w:sz w:val="20"/>
                <w:szCs w:val="20"/>
              </w:rPr>
            </w:pPr>
          </w:p>
          <w:p w:rsidR="00E6032D" w:rsidRDefault="00E6032D">
            <w:pPr>
              <w:widowControl/>
              <w:spacing w:line="280" w:lineRule="exact"/>
              <w:jc w:val="left"/>
              <w:rPr>
                <w:rFonts w:hAnsi="仿宋_GB2312" w:cs="仿宋_GB2312"/>
                <w:kern w:val="0"/>
                <w:sz w:val="20"/>
                <w:szCs w:val="20"/>
              </w:rPr>
            </w:pPr>
          </w:p>
          <w:p w:rsidR="00E6032D" w:rsidRDefault="00A60657">
            <w:pPr>
              <w:widowControl/>
              <w:spacing w:line="280" w:lineRule="exact"/>
              <w:jc w:val="left"/>
              <w:rPr>
                <w:rFonts w:ascii="Times New Roman" w:hAnsi="Times New Roman"/>
                <w:kern w:val="0"/>
                <w:sz w:val="24"/>
                <w:szCs w:val="24"/>
              </w:rPr>
            </w:pPr>
            <w:r>
              <w:rPr>
                <w:rFonts w:hAnsi="仿宋_GB2312" w:cs="仿宋_GB2312" w:hint="eastAsia"/>
                <w:kern w:val="0"/>
                <w:sz w:val="20"/>
                <w:szCs w:val="20"/>
              </w:rPr>
              <w:t>我单位</w:t>
            </w:r>
            <w:r>
              <w:rPr>
                <w:rFonts w:hAnsi="仿宋_GB2312" w:cs="仿宋_GB2312" w:hint="eastAsia"/>
                <w:kern w:val="0"/>
                <w:sz w:val="20"/>
                <w:szCs w:val="20"/>
              </w:rPr>
              <w:t>没有</w:t>
            </w:r>
            <w:r>
              <w:rPr>
                <w:rFonts w:hAnsi="仿宋_GB2312" w:cs="仿宋_GB2312" w:hint="eastAsia"/>
                <w:kern w:val="0"/>
                <w:sz w:val="20"/>
                <w:szCs w:val="20"/>
              </w:rPr>
              <w:t>新建</w:t>
            </w:r>
            <w:r>
              <w:rPr>
                <w:rFonts w:hAnsi="仿宋_GB2312" w:cs="仿宋_GB2312" w:hint="eastAsia"/>
                <w:kern w:val="0"/>
                <w:sz w:val="20"/>
                <w:szCs w:val="20"/>
              </w:rPr>
              <w:t>楼堂馆所</w:t>
            </w:r>
            <w:r>
              <w:rPr>
                <w:rFonts w:hAnsi="仿宋_GB2312" w:cs="仿宋_GB2312" w:hint="eastAsia"/>
                <w:kern w:val="0"/>
                <w:sz w:val="20"/>
                <w:szCs w:val="20"/>
              </w:rPr>
              <w:t>项目</w:t>
            </w:r>
          </w:p>
        </w:tc>
      </w:tr>
      <w:tr w:rsidR="00E6032D">
        <w:trPr>
          <w:trHeight w:val="1115"/>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新建楼堂馆所投资概算控制率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00"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2205"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楼堂馆所投资预算控制率</w:t>
            </w:r>
            <w:r>
              <w:rPr>
                <w:rFonts w:ascii="Times New Roman" w:hAnsi="Times New Roman"/>
                <w:kern w:val="0"/>
                <w:sz w:val="20"/>
                <w:szCs w:val="20"/>
              </w:rPr>
              <w:t>=</w:t>
            </w:r>
            <w:r>
              <w:rPr>
                <w:rFonts w:ascii="Times New Roman" w:hAnsi="Times New Roman" w:hint="eastAsia"/>
                <w:kern w:val="0"/>
                <w:sz w:val="20"/>
                <w:szCs w:val="20"/>
              </w:rPr>
              <w:t>实际投资金额</w:t>
            </w:r>
            <w:r>
              <w:rPr>
                <w:rFonts w:ascii="Times New Roman" w:hAnsi="Times New Roman"/>
                <w:kern w:val="0"/>
                <w:sz w:val="20"/>
                <w:szCs w:val="20"/>
              </w:rPr>
              <w:t>/</w:t>
            </w:r>
            <w:r>
              <w:rPr>
                <w:rFonts w:ascii="Times New Roman" w:hAnsi="Times New Roman" w:hint="eastAsia"/>
                <w:kern w:val="0"/>
                <w:sz w:val="20"/>
                <w:szCs w:val="20"/>
              </w:rPr>
              <w:t>批准投资金额</w:t>
            </w:r>
            <w:r>
              <w:rPr>
                <w:rFonts w:ascii="Times New Roman" w:hAnsi="Times New Roman"/>
                <w:kern w:val="0"/>
                <w:sz w:val="20"/>
                <w:szCs w:val="20"/>
              </w:rPr>
              <w:t xml:space="preserve">×100% </w:t>
            </w:r>
            <w:r>
              <w:rPr>
                <w:rFonts w:ascii="Times New Roman" w:hAnsi="Times New Roman" w:hint="eastAsia"/>
                <w:kern w:val="0"/>
                <w:sz w:val="20"/>
                <w:szCs w:val="20"/>
              </w:rPr>
              <w:t>。</w:t>
            </w:r>
          </w:p>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该指标以</w:t>
            </w:r>
            <w:r>
              <w:rPr>
                <w:rFonts w:ascii="Times New Roman" w:hAnsi="Times New Roman"/>
                <w:kern w:val="0"/>
                <w:sz w:val="20"/>
                <w:szCs w:val="20"/>
              </w:rPr>
              <w:t>2014</w:t>
            </w:r>
            <w:r>
              <w:rPr>
                <w:rFonts w:ascii="Times New Roman" w:hAnsi="Times New Roman" w:hint="eastAsia"/>
                <w:kern w:val="0"/>
                <w:sz w:val="20"/>
                <w:szCs w:val="20"/>
              </w:rPr>
              <w:t>年完工的新建楼堂馆所为评价内容。</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1521" w:type="dxa"/>
            <w:tcBorders>
              <w:top w:val="nil"/>
              <w:left w:val="nil"/>
              <w:bottom w:val="single" w:sz="4" w:space="0" w:color="auto"/>
              <w:right w:val="single" w:sz="4" w:space="0" w:color="auto"/>
            </w:tcBorders>
          </w:tcPr>
          <w:p w:rsidR="00E6032D" w:rsidRDefault="00E6032D">
            <w:pPr>
              <w:widowControl/>
              <w:spacing w:line="280" w:lineRule="exact"/>
              <w:jc w:val="left"/>
              <w:rPr>
                <w:rFonts w:hAnsi="仿宋_GB2312" w:cs="仿宋_GB2312"/>
                <w:kern w:val="0"/>
                <w:sz w:val="20"/>
                <w:szCs w:val="20"/>
              </w:rPr>
            </w:pPr>
          </w:p>
          <w:p w:rsidR="00E6032D" w:rsidRDefault="00E6032D">
            <w:pPr>
              <w:widowControl/>
              <w:spacing w:line="280" w:lineRule="exact"/>
              <w:jc w:val="left"/>
              <w:rPr>
                <w:rFonts w:hAnsi="仿宋_GB2312" w:cs="仿宋_GB2312"/>
                <w:kern w:val="0"/>
                <w:sz w:val="20"/>
                <w:szCs w:val="20"/>
              </w:rPr>
            </w:pPr>
          </w:p>
          <w:p w:rsidR="00E6032D" w:rsidRDefault="00A60657">
            <w:pPr>
              <w:widowControl/>
              <w:spacing w:line="280" w:lineRule="exact"/>
              <w:jc w:val="left"/>
              <w:rPr>
                <w:rFonts w:ascii="Times New Roman" w:hAnsi="Times New Roman"/>
                <w:kern w:val="0"/>
                <w:sz w:val="24"/>
                <w:szCs w:val="24"/>
              </w:rPr>
            </w:pPr>
            <w:r>
              <w:rPr>
                <w:rFonts w:hAnsi="仿宋_GB2312" w:cs="仿宋_GB2312" w:hint="eastAsia"/>
                <w:kern w:val="0"/>
                <w:sz w:val="20"/>
                <w:szCs w:val="20"/>
              </w:rPr>
              <w:t>我单位</w:t>
            </w:r>
            <w:r>
              <w:rPr>
                <w:rFonts w:hAnsi="仿宋_GB2312" w:cs="仿宋_GB2312" w:hint="eastAsia"/>
                <w:kern w:val="0"/>
                <w:sz w:val="20"/>
                <w:szCs w:val="20"/>
              </w:rPr>
              <w:t>没有</w:t>
            </w:r>
            <w:r>
              <w:rPr>
                <w:rFonts w:hAnsi="仿宋_GB2312" w:cs="仿宋_GB2312" w:hint="eastAsia"/>
                <w:kern w:val="0"/>
                <w:sz w:val="20"/>
                <w:szCs w:val="20"/>
              </w:rPr>
              <w:t>新建</w:t>
            </w:r>
            <w:r>
              <w:rPr>
                <w:rFonts w:hAnsi="仿宋_GB2312" w:cs="仿宋_GB2312" w:hint="eastAsia"/>
                <w:kern w:val="0"/>
                <w:sz w:val="20"/>
                <w:szCs w:val="20"/>
              </w:rPr>
              <w:t>楼堂馆所</w:t>
            </w:r>
            <w:r>
              <w:rPr>
                <w:rFonts w:hAnsi="仿宋_GB2312" w:cs="仿宋_GB2312" w:hint="eastAsia"/>
                <w:kern w:val="0"/>
                <w:sz w:val="20"/>
                <w:szCs w:val="20"/>
              </w:rPr>
              <w:t>项目</w:t>
            </w:r>
          </w:p>
        </w:tc>
      </w:tr>
      <w:tr w:rsidR="00E6032D">
        <w:trPr>
          <w:trHeight w:val="1448"/>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预算管理</w:t>
            </w:r>
          </w:p>
        </w:tc>
        <w:tc>
          <w:tcPr>
            <w:tcW w:w="416" w:type="dxa"/>
            <w:vMerge w:val="restart"/>
            <w:tcBorders>
              <w:top w:val="nil"/>
              <w:left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公用经费控制率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00"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1%</w:t>
            </w:r>
            <w:r>
              <w:rPr>
                <w:rFonts w:ascii="Times New Roman" w:hAnsi="Times New Roman" w:hint="eastAsia"/>
                <w:kern w:val="0"/>
                <w:sz w:val="20"/>
                <w:szCs w:val="20"/>
              </w:rPr>
              <w:t>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2205"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公用经费控制率</w:t>
            </w:r>
            <w:r>
              <w:rPr>
                <w:rFonts w:ascii="Times New Roman" w:hAnsi="Times New Roman"/>
                <w:kern w:val="0"/>
                <w:sz w:val="20"/>
                <w:szCs w:val="20"/>
              </w:rPr>
              <w:t>=</w:t>
            </w:r>
            <w:r>
              <w:rPr>
                <w:rFonts w:ascii="Times New Roman" w:hAnsi="Times New Roman" w:hint="eastAsia"/>
                <w:kern w:val="0"/>
                <w:sz w:val="20"/>
                <w:szCs w:val="20"/>
              </w:rPr>
              <w:t>（实际支出公用经费总额</w:t>
            </w:r>
            <w:r>
              <w:rPr>
                <w:rFonts w:ascii="Times New Roman" w:hAnsi="Times New Roman"/>
                <w:kern w:val="0"/>
                <w:sz w:val="20"/>
                <w:szCs w:val="20"/>
              </w:rPr>
              <w:t>/</w:t>
            </w:r>
            <w:r>
              <w:rPr>
                <w:rFonts w:ascii="Times New Roman" w:hAnsi="Times New Roman" w:hint="eastAsia"/>
                <w:kern w:val="0"/>
                <w:sz w:val="20"/>
                <w:szCs w:val="20"/>
              </w:rPr>
              <w:t>预算安排公用经费总额）</w:t>
            </w:r>
            <w:r>
              <w:rPr>
                <w:rFonts w:ascii="Times New Roman" w:hAnsi="Times New Roman"/>
                <w:kern w:val="0"/>
                <w:sz w:val="20"/>
                <w:szCs w:val="20"/>
              </w:rPr>
              <w:t>×100%</w:t>
            </w:r>
            <w:r>
              <w:rPr>
                <w:rFonts w:ascii="Times New Roman" w:hAnsi="Times New Roman" w:hint="eastAsia"/>
                <w:kern w:val="0"/>
                <w:sz w:val="20"/>
                <w:szCs w:val="20"/>
              </w:rPr>
              <w:t>。</w:t>
            </w:r>
          </w:p>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公用经费支出是指部门基本支出中的一般商品和服务支出。</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0</w:t>
            </w:r>
          </w:p>
        </w:tc>
        <w:tc>
          <w:tcPr>
            <w:tcW w:w="1521" w:type="dxa"/>
            <w:tcBorders>
              <w:top w:val="nil"/>
              <w:left w:val="nil"/>
              <w:bottom w:val="single" w:sz="4" w:space="0" w:color="auto"/>
              <w:right w:val="single" w:sz="4" w:space="0" w:color="auto"/>
            </w:tcBorders>
          </w:tcPr>
          <w:p w:rsidR="00E6032D" w:rsidRDefault="00E6032D">
            <w:pPr>
              <w:widowControl/>
              <w:spacing w:line="280" w:lineRule="exact"/>
              <w:jc w:val="left"/>
              <w:rPr>
                <w:rFonts w:hAnsi="仿宋_GB2312" w:cs="仿宋_GB2312"/>
                <w:kern w:val="0"/>
                <w:sz w:val="20"/>
                <w:szCs w:val="20"/>
              </w:rPr>
            </w:pPr>
          </w:p>
          <w:p w:rsidR="00E6032D" w:rsidRDefault="00A60657">
            <w:pPr>
              <w:widowControl/>
              <w:spacing w:line="280" w:lineRule="exact"/>
              <w:jc w:val="left"/>
              <w:rPr>
                <w:rFonts w:ascii="Times New Roman" w:hAnsi="Times New Roman"/>
                <w:kern w:val="0"/>
                <w:sz w:val="24"/>
                <w:szCs w:val="24"/>
              </w:rPr>
            </w:pPr>
            <w:r>
              <w:rPr>
                <w:rFonts w:hAnsi="仿宋_GB2312" w:cs="仿宋_GB2312" w:hint="eastAsia"/>
                <w:kern w:val="0"/>
                <w:sz w:val="20"/>
                <w:szCs w:val="20"/>
              </w:rPr>
              <w:t>全年公用经费预算安排较少，支出超出预算</w:t>
            </w:r>
          </w:p>
        </w:tc>
      </w:tr>
      <w:tr w:rsidR="00E6032D">
        <w:trPr>
          <w:trHeight w:val="740"/>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left w:val="single" w:sz="4" w:space="0" w:color="auto"/>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三公经费控制率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00"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以下（含）计满分，每超出</w:t>
            </w:r>
            <w:r>
              <w:rPr>
                <w:rFonts w:ascii="Times New Roman" w:hAnsi="Times New Roman"/>
                <w:kern w:val="0"/>
                <w:sz w:val="20"/>
                <w:szCs w:val="20"/>
              </w:rPr>
              <w:t>1%</w:t>
            </w:r>
            <w:r>
              <w:rPr>
                <w:rFonts w:ascii="Times New Roman" w:hAnsi="Times New Roman" w:hint="eastAsia"/>
                <w:kern w:val="0"/>
                <w:sz w:val="20"/>
                <w:szCs w:val="20"/>
              </w:rPr>
              <w:t>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2205"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控制率</w:t>
            </w:r>
            <w:r>
              <w:rPr>
                <w:rFonts w:ascii="Times New Roman" w:hAnsi="Times New Roman"/>
                <w:kern w:val="0"/>
                <w:sz w:val="20"/>
                <w:szCs w:val="20"/>
              </w:rPr>
              <w:t>-</w:t>
            </w:r>
            <w:r>
              <w:rPr>
                <w:rFonts w:ascii="Times New Roman" w:hAnsi="Times New Roman" w:hint="eastAsia"/>
                <w:kern w:val="0"/>
                <w:sz w:val="20"/>
                <w:szCs w:val="20"/>
              </w:rPr>
              <w:t>（</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实际支出数</w:t>
            </w:r>
            <w:r>
              <w:rPr>
                <w:rFonts w:ascii="Times New Roman" w:hAnsi="Times New Roman"/>
                <w:kern w:val="0"/>
                <w:sz w:val="20"/>
                <w:szCs w:val="20"/>
              </w:rPr>
              <w:t>/“</w:t>
            </w:r>
            <w:r>
              <w:rPr>
                <w:rFonts w:ascii="Times New Roman" w:hAnsi="Times New Roman" w:hint="eastAsia"/>
                <w:kern w:val="0"/>
                <w:sz w:val="20"/>
                <w:szCs w:val="20"/>
              </w:rPr>
              <w:t>三公经费</w:t>
            </w:r>
            <w:r>
              <w:rPr>
                <w:rFonts w:ascii="Times New Roman" w:hAnsi="Times New Roman"/>
                <w:kern w:val="0"/>
                <w:sz w:val="20"/>
                <w:szCs w:val="20"/>
              </w:rPr>
              <w:t>”</w:t>
            </w:r>
            <w:r>
              <w:rPr>
                <w:rFonts w:ascii="Times New Roman" w:hAnsi="Times New Roman" w:hint="eastAsia"/>
                <w:kern w:val="0"/>
                <w:sz w:val="20"/>
                <w:szCs w:val="20"/>
              </w:rPr>
              <w:t>预算安排数）</w:t>
            </w:r>
            <w:r>
              <w:rPr>
                <w:rFonts w:ascii="Times New Roman" w:hAnsi="Times New Roman"/>
                <w:kern w:val="0"/>
                <w:sz w:val="20"/>
                <w:szCs w:val="20"/>
              </w:rPr>
              <w:t>×100%</w:t>
            </w:r>
            <w:r>
              <w:rPr>
                <w:rFonts w:ascii="Times New Roman" w:hAnsi="Times New Roman" w:hint="eastAsia"/>
                <w:kern w:val="0"/>
                <w:sz w:val="20"/>
                <w:szCs w:val="20"/>
              </w:rPr>
              <w:t>。</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8</w:t>
            </w:r>
          </w:p>
        </w:tc>
        <w:tc>
          <w:tcPr>
            <w:tcW w:w="1521" w:type="dxa"/>
            <w:tcBorders>
              <w:top w:val="nil"/>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三公经费支出未超年初预算</w:t>
            </w:r>
          </w:p>
        </w:tc>
      </w:tr>
      <w:tr w:rsidR="00E6032D">
        <w:trPr>
          <w:trHeight w:val="1020"/>
          <w:jc w:val="center"/>
        </w:trPr>
        <w:tc>
          <w:tcPr>
            <w:tcW w:w="648" w:type="dxa"/>
            <w:vMerge/>
            <w:tcBorders>
              <w:top w:val="nil"/>
              <w:left w:val="single" w:sz="4" w:space="0" w:color="auto"/>
              <w:bottom w:val="single" w:sz="4" w:space="0" w:color="auto"/>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auto"/>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416" w:type="dxa"/>
            <w:vMerge/>
            <w:tcBorders>
              <w:left w:val="single" w:sz="4" w:space="0" w:color="auto"/>
              <w:bottom w:val="single" w:sz="4" w:space="0" w:color="auto"/>
              <w:right w:val="single" w:sz="4" w:space="0" w:color="auto"/>
            </w:tcBorders>
            <w:vAlign w:val="center"/>
          </w:tcPr>
          <w:p w:rsidR="00E6032D" w:rsidRDefault="00E6032D">
            <w:pPr>
              <w:widowControl/>
              <w:spacing w:line="32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hint="eastAsia"/>
                <w:kern w:val="0"/>
                <w:sz w:val="20"/>
                <w:szCs w:val="20"/>
              </w:rPr>
              <w:t>政府采购执行率</w:t>
            </w:r>
          </w:p>
        </w:tc>
        <w:tc>
          <w:tcPr>
            <w:tcW w:w="416" w:type="dxa"/>
            <w:tcBorders>
              <w:top w:val="nil"/>
              <w:left w:val="nil"/>
              <w:bottom w:val="single" w:sz="4" w:space="0" w:color="auto"/>
              <w:right w:val="single" w:sz="4" w:space="0" w:color="auto"/>
            </w:tcBorders>
            <w:vAlign w:val="center"/>
          </w:tcPr>
          <w:p w:rsidR="00E6032D" w:rsidRDefault="00A60657">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200"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ascii="Times New Roman" w:hAnsi="Times New Roman" w:hint="eastAsia"/>
                <w:kern w:val="0"/>
                <w:sz w:val="20"/>
                <w:szCs w:val="20"/>
              </w:rPr>
              <w:t>计满分，每超过（降低）</w:t>
            </w:r>
            <w:r>
              <w:rPr>
                <w:rFonts w:ascii="Times New Roman" w:hAnsi="Times New Roman"/>
                <w:kern w:val="0"/>
                <w:sz w:val="20"/>
                <w:szCs w:val="20"/>
              </w:rPr>
              <w:t>5%</w:t>
            </w:r>
            <w:r>
              <w:rPr>
                <w:rFonts w:ascii="Times New Roman" w:hAnsi="Times New Roman" w:hint="eastAsia"/>
                <w:kern w:val="0"/>
                <w:sz w:val="20"/>
                <w:szCs w:val="20"/>
              </w:rPr>
              <w:t>扣</w:t>
            </w:r>
            <w:r>
              <w:rPr>
                <w:rFonts w:ascii="Times New Roman" w:hAnsi="Times New Roman"/>
                <w:kern w:val="0"/>
                <w:sz w:val="20"/>
                <w:szCs w:val="20"/>
              </w:rPr>
              <w:t>2</w:t>
            </w:r>
            <w:r>
              <w:rPr>
                <w:rFonts w:ascii="Times New Roman" w:hAnsi="Times New Roman" w:hint="eastAsia"/>
                <w:kern w:val="0"/>
                <w:sz w:val="20"/>
                <w:szCs w:val="20"/>
              </w:rPr>
              <w:t>分。扣完为止。</w:t>
            </w:r>
          </w:p>
        </w:tc>
        <w:tc>
          <w:tcPr>
            <w:tcW w:w="2205" w:type="dxa"/>
            <w:tcBorders>
              <w:top w:val="nil"/>
              <w:left w:val="nil"/>
              <w:bottom w:val="single" w:sz="4" w:space="0" w:color="auto"/>
              <w:right w:val="single" w:sz="4" w:space="0" w:color="auto"/>
            </w:tcBorders>
            <w:vAlign w:val="center"/>
          </w:tcPr>
          <w:p w:rsidR="00E6032D" w:rsidRDefault="00A60657">
            <w:pPr>
              <w:widowControl/>
              <w:spacing w:line="300" w:lineRule="exact"/>
              <w:jc w:val="left"/>
              <w:rPr>
                <w:rFonts w:ascii="Times New Roman" w:hAnsi="Times New Roman"/>
                <w:kern w:val="0"/>
                <w:sz w:val="20"/>
                <w:szCs w:val="20"/>
              </w:rPr>
            </w:pPr>
            <w:r>
              <w:rPr>
                <w:rFonts w:ascii="Times New Roman" w:hAnsi="Times New Roman" w:hint="eastAsia"/>
                <w:kern w:val="0"/>
                <w:sz w:val="20"/>
                <w:szCs w:val="20"/>
              </w:rPr>
              <w:t>政府采购执行率</w:t>
            </w:r>
            <w:r>
              <w:rPr>
                <w:rFonts w:ascii="Times New Roman" w:hAnsi="Times New Roman"/>
                <w:kern w:val="0"/>
                <w:sz w:val="20"/>
                <w:szCs w:val="20"/>
              </w:rPr>
              <w:t>=</w:t>
            </w:r>
            <w:r>
              <w:rPr>
                <w:rFonts w:ascii="Times New Roman" w:hAnsi="Times New Roman" w:hint="eastAsia"/>
                <w:kern w:val="0"/>
                <w:sz w:val="20"/>
                <w:szCs w:val="20"/>
              </w:rPr>
              <w:t>（实际政府采购金额</w:t>
            </w:r>
            <w:r>
              <w:rPr>
                <w:rFonts w:ascii="Times New Roman" w:hAnsi="Times New Roman"/>
                <w:kern w:val="0"/>
                <w:sz w:val="20"/>
                <w:szCs w:val="20"/>
              </w:rPr>
              <w:t>/</w:t>
            </w:r>
            <w:r>
              <w:rPr>
                <w:rFonts w:ascii="Times New Roman" w:hAnsi="Times New Roman" w:hint="eastAsia"/>
                <w:kern w:val="0"/>
                <w:sz w:val="20"/>
                <w:szCs w:val="20"/>
              </w:rPr>
              <w:t>政府采购预算数）</w:t>
            </w:r>
            <w:r>
              <w:rPr>
                <w:rFonts w:ascii="Times New Roman" w:hAnsi="Times New Roman"/>
                <w:kern w:val="0"/>
                <w:sz w:val="20"/>
                <w:szCs w:val="20"/>
              </w:rPr>
              <w:t xml:space="preserve">×100%                </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3</w:t>
            </w:r>
          </w:p>
        </w:tc>
        <w:tc>
          <w:tcPr>
            <w:tcW w:w="1521" w:type="dxa"/>
            <w:tcBorders>
              <w:top w:val="nil"/>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政府采购执行率超过采购预算</w:t>
            </w:r>
          </w:p>
        </w:tc>
      </w:tr>
      <w:tr w:rsidR="00E6032D">
        <w:trPr>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过程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E6032D" w:rsidRDefault="00A60657">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预算管理</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管理制度健全性</w:t>
            </w:r>
          </w:p>
        </w:tc>
        <w:tc>
          <w:tcPr>
            <w:tcW w:w="416"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200" w:type="dxa"/>
            <w:tcBorders>
              <w:top w:val="nil"/>
              <w:left w:val="nil"/>
              <w:bottom w:val="single" w:sz="4" w:space="0" w:color="auto"/>
              <w:right w:val="single" w:sz="4" w:space="0" w:color="auto"/>
            </w:tcBorders>
            <w:vAlign w:val="center"/>
          </w:tcPr>
          <w:p w:rsidR="00E6032D" w:rsidRDefault="00A60657">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有内部财务管理制度、会计核算制度等管理制度，</w:t>
            </w:r>
            <w:r>
              <w:rPr>
                <w:rFonts w:ascii="Times New Roman" w:hAnsi="Times New Roman"/>
                <w:kern w:val="0"/>
                <w:sz w:val="20"/>
                <w:szCs w:val="20"/>
              </w:rPr>
              <w:t>2</w:t>
            </w:r>
            <w:r>
              <w:rPr>
                <w:rFonts w:ascii="Times New Roman" w:hAnsi="Times New Roman" w:hint="eastAsia"/>
                <w:kern w:val="0"/>
                <w:sz w:val="20"/>
                <w:szCs w:val="20"/>
              </w:rPr>
              <w:t>分；</w:t>
            </w:r>
          </w:p>
          <w:p w:rsidR="00E6032D" w:rsidRDefault="00A60657">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②</w:t>
            </w:r>
            <w:r>
              <w:rPr>
                <w:rFonts w:ascii="Times New Roman" w:hAnsi="Times New Roman" w:hint="eastAsia"/>
                <w:kern w:val="0"/>
                <w:sz w:val="20"/>
                <w:szCs w:val="20"/>
              </w:rPr>
              <w:t>有本部门厉行节约制度，</w:t>
            </w:r>
            <w:r>
              <w:rPr>
                <w:rFonts w:ascii="Times New Roman" w:hAnsi="Times New Roman"/>
                <w:kern w:val="0"/>
                <w:sz w:val="20"/>
                <w:szCs w:val="20"/>
              </w:rPr>
              <w:t>2</w:t>
            </w:r>
            <w:r>
              <w:rPr>
                <w:rFonts w:ascii="Times New Roman" w:hAnsi="Times New Roman" w:hint="eastAsia"/>
                <w:kern w:val="0"/>
                <w:sz w:val="20"/>
                <w:szCs w:val="20"/>
              </w:rPr>
              <w:t>分；</w:t>
            </w:r>
          </w:p>
          <w:p w:rsidR="00E6032D" w:rsidRDefault="00A60657">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③</w:t>
            </w:r>
            <w:r>
              <w:rPr>
                <w:rFonts w:ascii="Times New Roman" w:hAnsi="Times New Roman" w:hint="eastAsia"/>
                <w:kern w:val="0"/>
                <w:sz w:val="20"/>
                <w:szCs w:val="20"/>
              </w:rPr>
              <w:t>相关管理制度合法、合规、完整，</w:t>
            </w:r>
            <w:r>
              <w:rPr>
                <w:rFonts w:ascii="Times New Roman" w:hAnsi="Times New Roman"/>
                <w:kern w:val="0"/>
                <w:sz w:val="20"/>
                <w:szCs w:val="20"/>
              </w:rPr>
              <w:t>2</w:t>
            </w:r>
            <w:r>
              <w:rPr>
                <w:rFonts w:ascii="Times New Roman" w:hAnsi="Times New Roman" w:hint="eastAsia"/>
                <w:kern w:val="0"/>
                <w:sz w:val="20"/>
                <w:szCs w:val="20"/>
              </w:rPr>
              <w:t>分；</w:t>
            </w:r>
            <w:r>
              <w:rPr>
                <w:rFonts w:ascii="Times New Roman" w:eastAsia="宋体" w:hAnsi="Times New Roman" w:hint="eastAsia"/>
                <w:kern w:val="0"/>
                <w:sz w:val="20"/>
                <w:szCs w:val="20"/>
              </w:rPr>
              <w:t>④</w:t>
            </w:r>
            <w:r>
              <w:rPr>
                <w:rFonts w:ascii="Times New Roman" w:hAnsi="Times New Roman" w:hint="eastAsia"/>
                <w:kern w:val="0"/>
                <w:sz w:val="20"/>
                <w:szCs w:val="20"/>
              </w:rPr>
              <w:t>相关管理制度得到有效执行，</w:t>
            </w:r>
            <w:r>
              <w:rPr>
                <w:rFonts w:ascii="Times New Roman" w:hAnsi="Times New Roman"/>
                <w:kern w:val="0"/>
                <w:sz w:val="20"/>
                <w:szCs w:val="20"/>
              </w:rPr>
              <w:t>2</w:t>
            </w:r>
            <w:r>
              <w:rPr>
                <w:rFonts w:ascii="Times New Roman" w:hAnsi="Times New Roman" w:hint="eastAsia"/>
                <w:kern w:val="0"/>
                <w:sz w:val="20"/>
                <w:szCs w:val="20"/>
              </w:rPr>
              <w:t>分。</w:t>
            </w:r>
          </w:p>
        </w:tc>
        <w:tc>
          <w:tcPr>
            <w:tcW w:w="220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p>
        </w:tc>
        <w:tc>
          <w:tcPr>
            <w:tcW w:w="825" w:type="dxa"/>
            <w:tcBorders>
              <w:top w:val="nil"/>
              <w:left w:val="nil"/>
              <w:bottom w:val="single" w:sz="4" w:space="0" w:color="auto"/>
              <w:right w:val="single" w:sz="4" w:space="0" w:color="auto"/>
            </w:tcBorders>
            <w:vAlign w:val="center"/>
          </w:tcPr>
          <w:p w:rsidR="00E6032D" w:rsidRDefault="00E6032D">
            <w:pPr>
              <w:widowControl/>
              <w:spacing w:line="280" w:lineRule="exact"/>
              <w:jc w:val="left"/>
              <w:rPr>
                <w:rFonts w:ascii="Times New Roman" w:hAnsi="Times New Roman"/>
                <w:kern w:val="0"/>
                <w:sz w:val="24"/>
                <w:szCs w:val="24"/>
              </w:rPr>
            </w:pPr>
          </w:p>
          <w:p w:rsidR="00E6032D" w:rsidRDefault="00E6032D">
            <w:pPr>
              <w:widowControl/>
              <w:spacing w:line="280" w:lineRule="exact"/>
              <w:jc w:val="left"/>
              <w:rPr>
                <w:rFonts w:ascii="Times New Roman" w:hAnsi="Times New Roman"/>
                <w:kern w:val="0"/>
                <w:sz w:val="24"/>
                <w:szCs w:val="24"/>
              </w:rPr>
            </w:pPr>
          </w:p>
          <w:p w:rsidR="00E6032D" w:rsidRDefault="00E6032D">
            <w:pPr>
              <w:widowControl/>
              <w:spacing w:line="280" w:lineRule="exact"/>
              <w:jc w:val="left"/>
              <w:rPr>
                <w:rFonts w:ascii="Times New Roman" w:hAnsi="Times New Roman"/>
                <w:kern w:val="0"/>
                <w:sz w:val="24"/>
                <w:szCs w:val="24"/>
              </w:rPr>
            </w:pPr>
          </w:p>
          <w:p w:rsidR="00E6032D" w:rsidRDefault="00E6032D">
            <w:pPr>
              <w:widowControl/>
              <w:spacing w:line="280" w:lineRule="exact"/>
              <w:jc w:val="left"/>
              <w:rPr>
                <w:rFonts w:ascii="Times New Roman" w:hAnsi="Times New Roman"/>
                <w:kern w:val="0"/>
                <w:sz w:val="24"/>
                <w:szCs w:val="24"/>
              </w:rPr>
            </w:pPr>
          </w:p>
          <w:p w:rsidR="00E6032D" w:rsidRDefault="00A60657">
            <w:pPr>
              <w:widowControl/>
              <w:spacing w:line="280" w:lineRule="exact"/>
              <w:ind w:firstLineChars="100" w:firstLine="240"/>
              <w:jc w:val="left"/>
              <w:rPr>
                <w:rFonts w:ascii="Times New Roman" w:hAnsi="Times New Roman"/>
                <w:kern w:val="0"/>
                <w:sz w:val="24"/>
                <w:szCs w:val="24"/>
              </w:rPr>
            </w:pPr>
            <w:r>
              <w:rPr>
                <w:rFonts w:ascii="Times New Roman" w:hAnsi="Times New Roman" w:hint="eastAsia"/>
                <w:kern w:val="0"/>
                <w:sz w:val="24"/>
                <w:szCs w:val="24"/>
              </w:rPr>
              <w:t>8</w:t>
            </w:r>
            <w:r>
              <w:rPr>
                <w:rFonts w:ascii="Times New Roman" w:hAnsi="Times New Roman" w:hint="eastAsia"/>
                <w:kern w:val="0"/>
                <w:sz w:val="24"/>
                <w:szCs w:val="24"/>
              </w:rPr>
              <w:t xml:space="preserve">　</w:t>
            </w:r>
          </w:p>
        </w:tc>
        <w:tc>
          <w:tcPr>
            <w:tcW w:w="1521" w:type="dxa"/>
            <w:tcBorders>
              <w:top w:val="nil"/>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kern w:val="0"/>
                <w:sz w:val="24"/>
                <w:szCs w:val="24"/>
              </w:rPr>
            </w:pPr>
            <w:r>
              <w:rPr>
                <w:rFonts w:hAnsi="仿宋_GB2312" w:cs="仿宋_GB2312" w:hint="eastAsia"/>
                <w:color w:val="000000"/>
                <w:sz w:val="20"/>
                <w:szCs w:val="20"/>
                <w:shd w:val="clear" w:color="auto" w:fill="FFFFFF"/>
              </w:rPr>
              <w:t>有内部财务管理制度、会计核算制度等管理制度；有本部门厉行节约制度；相关管理制度合法、合规、完整；相关管理制度有执行，执行力度还待加强。</w:t>
            </w:r>
          </w:p>
        </w:tc>
      </w:tr>
      <w:tr w:rsidR="00E6032D">
        <w:trPr>
          <w:jc w:val="center"/>
        </w:trPr>
        <w:tc>
          <w:tcPr>
            <w:tcW w:w="648" w:type="dxa"/>
            <w:vMerge/>
            <w:tcBorders>
              <w:top w:val="single" w:sz="4" w:space="0" w:color="auto"/>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673" w:type="dxa"/>
            <w:vMerge/>
            <w:tcBorders>
              <w:top w:val="single" w:sz="4" w:space="0" w:color="auto"/>
              <w:left w:val="nil"/>
              <w:bottom w:val="single" w:sz="4" w:space="0" w:color="auto"/>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single" w:sz="4" w:space="0" w:color="auto"/>
              <w:left w:val="single" w:sz="4" w:space="0" w:color="auto"/>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1072"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资金使用合规性</w:t>
            </w:r>
          </w:p>
        </w:tc>
        <w:tc>
          <w:tcPr>
            <w:tcW w:w="416"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200" w:type="dxa"/>
            <w:tcBorders>
              <w:top w:val="nil"/>
              <w:left w:val="nil"/>
              <w:bottom w:val="single" w:sz="4" w:space="0" w:color="auto"/>
              <w:right w:val="single" w:sz="4" w:space="0" w:color="auto"/>
            </w:tcBorders>
            <w:vAlign w:val="center"/>
          </w:tcPr>
          <w:p w:rsidR="00E6032D" w:rsidRDefault="00A60657">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支出符合国家财经法规和财务管理制度规定以及有关专项资金管理办法的规定；</w:t>
            </w:r>
            <w:r>
              <w:rPr>
                <w:rFonts w:ascii="Times New Roman" w:eastAsia="宋体" w:hAnsi="Times New Roman" w:hint="eastAsia"/>
                <w:kern w:val="0"/>
                <w:sz w:val="20"/>
                <w:szCs w:val="20"/>
              </w:rPr>
              <w:t>②</w:t>
            </w:r>
            <w:r>
              <w:rPr>
                <w:rFonts w:ascii="Times New Roman" w:hAnsi="Times New Roman" w:hint="eastAsia"/>
                <w:kern w:val="0"/>
                <w:sz w:val="20"/>
                <w:szCs w:val="20"/>
              </w:rPr>
              <w:t>资金拨付有完整的审批程序和手续；</w:t>
            </w:r>
            <w:r>
              <w:rPr>
                <w:rFonts w:ascii="Times New Roman" w:eastAsia="宋体" w:hAnsi="Times New Roman" w:hint="eastAsia"/>
                <w:kern w:val="0"/>
                <w:sz w:val="20"/>
                <w:szCs w:val="20"/>
              </w:rPr>
              <w:t>③</w:t>
            </w:r>
            <w:r>
              <w:rPr>
                <w:rFonts w:ascii="Times New Roman" w:hAnsi="Times New Roman" w:hint="eastAsia"/>
                <w:kern w:val="0"/>
                <w:sz w:val="20"/>
                <w:szCs w:val="20"/>
              </w:rPr>
              <w:t>项目支出按规定经过评估论证；</w:t>
            </w:r>
            <w:r>
              <w:rPr>
                <w:rFonts w:ascii="Times New Roman" w:eastAsia="宋体" w:hAnsi="Times New Roman" w:hint="eastAsia"/>
                <w:kern w:val="0"/>
                <w:sz w:val="20"/>
                <w:szCs w:val="20"/>
              </w:rPr>
              <w:t>④</w:t>
            </w:r>
            <w:r>
              <w:rPr>
                <w:rFonts w:ascii="Times New Roman" w:hAnsi="Times New Roman" w:hint="eastAsia"/>
                <w:kern w:val="0"/>
                <w:sz w:val="20"/>
                <w:szCs w:val="20"/>
              </w:rPr>
              <w:t>支出符合部门预算批复的用途；</w:t>
            </w:r>
            <w:r>
              <w:rPr>
                <w:rFonts w:ascii="Times New Roman" w:eastAsia="宋体" w:hAnsi="Times New Roman" w:hint="eastAsia"/>
                <w:kern w:val="0"/>
                <w:sz w:val="20"/>
                <w:szCs w:val="20"/>
              </w:rPr>
              <w:t>⑤</w:t>
            </w:r>
            <w:r>
              <w:rPr>
                <w:rFonts w:ascii="Times New Roman" w:hAnsi="Times New Roman" w:hint="eastAsia"/>
                <w:kern w:val="0"/>
                <w:sz w:val="20"/>
                <w:szCs w:val="20"/>
              </w:rPr>
              <w:t>资金使用无截留、挤占、挪用、虚列支出等情况。</w:t>
            </w:r>
          </w:p>
          <w:p w:rsidR="00E6032D" w:rsidRDefault="00A60657">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以上情况每出现一例不符合要求的扣</w:t>
            </w:r>
            <w:r>
              <w:rPr>
                <w:rFonts w:ascii="Times New Roman" w:hAnsi="Times New Roman"/>
                <w:kern w:val="0"/>
                <w:sz w:val="20"/>
                <w:szCs w:val="20"/>
              </w:rPr>
              <w:t>1</w:t>
            </w:r>
            <w:r>
              <w:rPr>
                <w:rFonts w:ascii="Times New Roman" w:hAnsi="Times New Roman" w:hint="eastAsia"/>
                <w:kern w:val="0"/>
                <w:sz w:val="20"/>
                <w:szCs w:val="20"/>
              </w:rPr>
              <w:t>分，扣完为止。</w:t>
            </w:r>
          </w:p>
        </w:tc>
        <w:tc>
          <w:tcPr>
            <w:tcW w:w="220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6</w:t>
            </w:r>
          </w:p>
        </w:tc>
        <w:tc>
          <w:tcPr>
            <w:tcW w:w="1521" w:type="dxa"/>
            <w:tcBorders>
              <w:top w:val="nil"/>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b/>
                <w:bCs/>
                <w:kern w:val="0"/>
                <w:sz w:val="24"/>
                <w:szCs w:val="24"/>
              </w:rPr>
            </w:pPr>
            <w:r>
              <w:rPr>
                <w:rFonts w:hAnsi="仿宋_GB2312" w:cs="仿宋_GB2312" w:hint="eastAsia"/>
                <w:color w:val="000000"/>
                <w:sz w:val="20"/>
                <w:szCs w:val="20"/>
                <w:shd w:val="clear" w:color="auto" w:fill="FFFFFF"/>
              </w:rPr>
              <w:t>本年度支出的所有资金均</w:t>
            </w:r>
            <w:r>
              <w:rPr>
                <w:rFonts w:hAnsi="仿宋_GB2312" w:cs="仿宋_GB2312" w:hint="eastAsia"/>
                <w:color w:val="000000"/>
                <w:sz w:val="20"/>
                <w:szCs w:val="20"/>
                <w:shd w:val="clear" w:color="auto" w:fill="FFFFFF"/>
              </w:rPr>
              <w:t>由</w:t>
            </w:r>
            <w:r>
              <w:rPr>
                <w:rFonts w:hAnsi="仿宋_GB2312" w:cs="仿宋_GB2312" w:hint="eastAsia"/>
                <w:color w:val="000000"/>
                <w:sz w:val="20"/>
                <w:szCs w:val="20"/>
                <w:shd w:val="clear" w:color="auto" w:fill="FFFFFF"/>
              </w:rPr>
              <w:t>财政局国库</w:t>
            </w:r>
            <w:r>
              <w:rPr>
                <w:rFonts w:hAnsi="仿宋_GB2312" w:cs="仿宋_GB2312" w:hint="eastAsia"/>
                <w:color w:val="000000"/>
                <w:sz w:val="20"/>
                <w:szCs w:val="20"/>
                <w:shd w:val="clear" w:color="auto" w:fill="FFFFFF"/>
              </w:rPr>
              <w:t>直接</w:t>
            </w:r>
            <w:r>
              <w:rPr>
                <w:rFonts w:hAnsi="仿宋_GB2312" w:cs="仿宋_GB2312" w:hint="eastAsia"/>
                <w:color w:val="000000"/>
                <w:sz w:val="20"/>
                <w:szCs w:val="20"/>
                <w:shd w:val="clear" w:color="auto" w:fill="FFFFFF"/>
              </w:rPr>
              <w:t>支付，支出符合国家财经法规和财务管理制度规定以及有关专项资金管理办法的规定；资金拨付有完整的审批程序和手续；</w:t>
            </w:r>
            <w:r>
              <w:rPr>
                <w:rFonts w:hAnsi="仿宋_GB2312" w:cs="仿宋_GB2312" w:hint="eastAsia"/>
                <w:color w:val="000000"/>
                <w:sz w:val="20"/>
                <w:szCs w:val="20"/>
                <w:shd w:val="clear" w:color="auto" w:fill="FFFFFF"/>
              </w:rPr>
              <w:t>项目支出按照规定经过评估论证：支出符合部门预算批复的用途；</w:t>
            </w:r>
            <w:r>
              <w:rPr>
                <w:rFonts w:hAnsi="仿宋_GB2312" w:cs="仿宋_GB2312" w:hint="eastAsia"/>
                <w:color w:val="000000"/>
                <w:sz w:val="20"/>
                <w:szCs w:val="20"/>
                <w:shd w:val="clear" w:color="auto" w:fill="FFFFFF"/>
              </w:rPr>
              <w:t>资金使用无截留、挤占、挪用、虚列支出等情况</w:t>
            </w:r>
          </w:p>
        </w:tc>
      </w:tr>
      <w:tr w:rsidR="00E6032D">
        <w:trPr>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673" w:type="dxa"/>
            <w:vMerge/>
            <w:tcBorders>
              <w:top w:val="nil"/>
              <w:left w:val="nil"/>
              <w:bottom w:val="single" w:sz="4" w:space="0" w:color="auto"/>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spacing w:val="-17"/>
                <w:kern w:val="0"/>
                <w:sz w:val="20"/>
                <w:szCs w:val="20"/>
              </w:rPr>
              <w:t>预决算信息</w:t>
            </w:r>
            <w:r>
              <w:rPr>
                <w:rFonts w:ascii="Times New Roman" w:hAnsi="Times New Roman" w:hint="eastAsia"/>
                <w:kern w:val="0"/>
                <w:sz w:val="20"/>
                <w:szCs w:val="20"/>
              </w:rPr>
              <w:t>公开性</w:t>
            </w:r>
          </w:p>
        </w:tc>
        <w:tc>
          <w:tcPr>
            <w:tcW w:w="416" w:type="dxa"/>
            <w:tcBorders>
              <w:top w:val="nil"/>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200" w:type="dxa"/>
            <w:tcBorders>
              <w:top w:val="nil"/>
              <w:left w:val="nil"/>
              <w:bottom w:val="single" w:sz="4" w:space="0" w:color="auto"/>
              <w:right w:val="single" w:sz="4" w:space="0" w:color="auto"/>
            </w:tcBorders>
            <w:vAlign w:val="center"/>
          </w:tcPr>
          <w:p w:rsidR="00E6032D" w:rsidRDefault="00A60657">
            <w:pPr>
              <w:widowControl/>
              <w:spacing w:line="240" w:lineRule="exact"/>
              <w:jc w:val="left"/>
              <w:rPr>
                <w:rFonts w:ascii="Times New Roman" w:hAnsi="Times New Roman"/>
                <w:kern w:val="0"/>
                <w:sz w:val="20"/>
                <w:szCs w:val="20"/>
              </w:rPr>
            </w:pPr>
            <w:r>
              <w:rPr>
                <w:rFonts w:ascii="Times New Roman" w:eastAsia="宋体" w:hAnsi="Times New Roman" w:hint="eastAsia"/>
                <w:kern w:val="0"/>
                <w:sz w:val="20"/>
                <w:szCs w:val="20"/>
              </w:rPr>
              <w:t>①</w:t>
            </w:r>
            <w:r>
              <w:rPr>
                <w:rFonts w:ascii="Times New Roman" w:hAnsi="Times New Roman" w:hint="eastAsia"/>
                <w:kern w:val="0"/>
                <w:sz w:val="20"/>
                <w:szCs w:val="20"/>
              </w:rPr>
              <w:t>按规定内容公开预决算信息，</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②</w:t>
            </w:r>
            <w:r>
              <w:rPr>
                <w:rFonts w:ascii="Times New Roman" w:hAnsi="Times New Roman" w:hint="eastAsia"/>
                <w:kern w:val="0"/>
                <w:sz w:val="20"/>
                <w:szCs w:val="20"/>
              </w:rPr>
              <w:t>按规定时限公开预决算信息，</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③</w:t>
            </w:r>
            <w:r>
              <w:rPr>
                <w:rFonts w:ascii="Times New Roman" w:hAnsi="Times New Roman" w:hint="eastAsia"/>
                <w:kern w:val="0"/>
                <w:sz w:val="20"/>
                <w:szCs w:val="20"/>
              </w:rPr>
              <w:t>基础数据信息和会计信息资料真实，</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④</w:t>
            </w:r>
            <w:r>
              <w:rPr>
                <w:rFonts w:ascii="Times New Roman" w:hAnsi="Times New Roman" w:hint="eastAsia"/>
                <w:kern w:val="0"/>
                <w:sz w:val="20"/>
                <w:szCs w:val="20"/>
              </w:rPr>
              <w:t>基础数据信息和会计信息资料完整，</w:t>
            </w:r>
            <w:r>
              <w:rPr>
                <w:rFonts w:ascii="Times New Roman" w:hAnsi="Times New Roman"/>
                <w:kern w:val="0"/>
                <w:sz w:val="20"/>
                <w:szCs w:val="20"/>
              </w:rPr>
              <w:t>1</w:t>
            </w:r>
            <w:r>
              <w:rPr>
                <w:rFonts w:ascii="Times New Roman" w:hAnsi="Times New Roman" w:hint="eastAsia"/>
                <w:kern w:val="0"/>
                <w:sz w:val="20"/>
                <w:szCs w:val="20"/>
              </w:rPr>
              <w:t>分；</w:t>
            </w:r>
            <w:r>
              <w:rPr>
                <w:rFonts w:ascii="Times New Roman" w:eastAsia="宋体" w:hAnsi="Times New Roman" w:hint="eastAsia"/>
                <w:kern w:val="0"/>
                <w:sz w:val="20"/>
                <w:szCs w:val="20"/>
              </w:rPr>
              <w:t>⑤</w:t>
            </w:r>
            <w:r>
              <w:rPr>
                <w:rFonts w:ascii="Times New Roman" w:hAnsi="Times New Roman" w:hint="eastAsia"/>
                <w:kern w:val="0"/>
                <w:sz w:val="20"/>
                <w:szCs w:val="20"/>
              </w:rPr>
              <w:t>基础数据信息和汇集信息资料准确，</w:t>
            </w:r>
            <w:r>
              <w:rPr>
                <w:rFonts w:ascii="Times New Roman" w:hAnsi="Times New Roman"/>
                <w:kern w:val="0"/>
                <w:sz w:val="20"/>
                <w:szCs w:val="20"/>
              </w:rPr>
              <w:t>1</w:t>
            </w:r>
            <w:r>
              <w:rPr>
                <w:rFonts w:ascii="Times New Roman" w:hAnsi="Times New Roman" w:hint="eastAsia"/>
                <w:kern w:val="0"/>
                <w:sz w:val="20"/>
                <w:szCs w:val="20"/>
              </w:rPr>
              <w:t>分。</w:t>
            </w:r>
          </w:p>
        </w:tc>
        <w:tc>
          <w:tcPr>
            <w:tcW w:w="2205" w:type="dxa"/>
            <w:tcBorders>
              <w:top w:val="nil"/>
              <w:left w:val="nil"/>
              <w:bottom w:val="single" w:sz="4" w:space="0" w:color="auto"/>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5</w:t>
            </w:r>
          </w:p>
        </w:tc>
        <w:tc>
          <w:tcPr>
            <w:tcW w:w="1521" w:type="dxa"/>
            <w:tcBorders>
              <w:top w:val="nil"/>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按要求公开预决算</w:t>
            </w:r>
          </w:p>
        </w:tc>
      </w:tr>
      <w:tr w:rsidR="00E6032D">
        <w:trPr>
          <w:jc w:val="center"/>
        </w:trPr>
        <w:tc>
          <w:tcPr>
            <w:tcW w:w="648"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产出及效率</w:t>
            </w:r>
          </w:p>
        </w:tc>
        <w:tc>
          <w:tcPr>
            <w:tcW w:w="416"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职责履行</w:t>
            </w:r>
          </w:p>
        </w:tc>
        <w:tc>
          <w:tcPr>
            <w:tcW w:w="416" w:type="dxa"/>
            <w:tcBorders>
              <w:top w:val="nil"/>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sz="4" w:space="0" w:color="auto"/>
            </w:tcBorders>
            <w:vAlign w:val="center"/>
          </w:tcPr>
          <w:p w:rsidR="00E6032D" w:rsidRDefault="00A60657">
            <w:pPr>
              <w:widowControl/>
              <w:spacing w:line="280" w:lineRule="exact"/>
              <w:jc w:val="center"/>
              <w:rPr>
                <w:rFonts w:ascii="Times New Roman" w:hAnsi="Times New Roman"/>
                <w:spacing w:val="-20"/>
                <w:kern w:val="0"/>
                <w:sz w:val="20"/>
                <w:szCs w:val="20"/>
              </w:rPr>
            </w:pPr>
            <w:r>
              <w:rPr>
                <w:rFonts w:ascii="Times New Roman" w:hAnsi="Times New Roman" w:hint="eastAsia"/>
                <w:spacing w:val="-20"/>
                <w:kern w:val="0"/>
                <w:sz w:val="20"/>
                <w:szCs w:val="20"/>
              </w:rPr>
              <w:t>重点工作</w:t>
            </w:r>
          </w:p>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spacing w:val="-20"/>
                <w:kern w:val="0"/>
                <w:sz w:val="20"/>
                <w:szCs w:val="20"/>
              </w:rPr>
              <w:t>实际完成率</w:t>
            </w:r>
          </w:p>
        </w:tc>
        <w:tc>
          <w:tcPr>
            <w:tcW w:w="416" w:type="dxa"/>
            <w:tcBorders>
              <w:top w:val="nil"/>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200" w:type="dxa"/>
            <w:tcBorders>
              <w:top w:val="nil"/>
              <w:left w:val="nil"/>
              <w:bottom w:val="single" w:sz="4" w:space="0" w:color="auto"/>
              <w:right w:val="single" w:sz="4" w:space="0" w:color="auto"/>
            </w:tcBorders>
            <w:vAlign w:val="center"/>
          </w:tcPr>
          <w:p w:rsidR="00E6032D" w:rsidRDefault="00A60657">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根据绩效办对各部门为民办实事和部门重点工程与重点工作考核分数折算。</w:t>
            </w:r>
          </w:p>
          <w:p w:rsidR="00E6032D" w:rsidRDefault="00A60657">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该项得分</w:t>
            </w:r>
            <w:r>
              <w:rPr>
                <w:rFonts w:ascii="Times New Roman" w:hAnsi="Times New Roman"/>
                <w:kern w:val="0"/>
                <w:sz w:val="20"/>
                <w:szCs w:val="20"/>
              </w:rPr>
              <w:t>=</w:t>
            </w:r>
            <w:r>
              <w:rPr>
                <w:rFonts w:ascii="Times New Roman" w:hAnsi="Times New Roman" w:hint="eastAsia"/>
                <w:kern w:val="0"/>
                <w:sz w:val="20"/>
                <w:szCs w:val="20"/>
              </w:rPr>
              <w:t>（绩效办对应部分考核得分</w:t>
            </w:r>
            <w:r>
              <w:rPr>
                <w:rFonts w:ascii="Times New Roman" w:hAnsi="Times New Roman"/>
                <w:kern w:val="0"/>
                <w:sz w:val="20"/>
                <w:szCs w:val="20"/>
              </w:rPr>
              <w:t>/350</w:t>
            </w:r>
            <w:r>
              <w:rPr>
                <w:rFonts w:ascii="Times New Roman" w:hAnsi="Times New Roman" w:hint="eastAsia"/>
                <w:kern w:val="0"/>
                <w:sz w:val="20"/>
                <w:szCs w:val="20"/>
              </w:rPr>
              <w:t>）</w:t>
            </w:r>
            <w:r>
              <w:rPr>
                <w:rFonts w:ascii="Times New Roman" w:hAnsi="Times New Roman"/>
                <w:kern w:val="0"/>
                <w:sz w:val="20"/>
                <w:szCs w:val="20"/>
              </w:rPr>
              <w:t>*8</w:t>
            </w:r>
          </w:p>
        </w:tc>
        <w:tc>
          <w:tcPr>
            <w:tcW w:w="220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 xml:space="preserve">　</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8</w:t>
            </w:r>
          </w:p>
        </w:tc>
        <w:tc>
          <w:tcPr>
            <w:tcW w:w="1521" w:type="dxa"/>
            <w:tcBorders>
              <w:top w:val="nil"/>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kern w:val="0"/>
                <w:sz w:val="24"/>
                <w:szCs w:val="24"/>
              </w:rPr>
            </w:pPr>
            <w:r>
              <w:rPr>
                <w:rFonts w:hAnsi="仿宋_GB2312" w:cs="仿宋_GB2312" w:hint="eastAsia"/>
                <w:kern w:val="0"/>
                <w:sz w:val="20"/>
                <w:szCs w:val="20"/>
              </w:rPr>
              <w:t>以绩效办考核得分为依据</w:t>
            </w:r>
          </w:p>
        </w:tc>
      </w:tr>
      <w:tr w:rsidR="00E6032D">
        <w:trPr>
          <w:trHeight w:hRule="exact" w:val="2187"/>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履职效益</w:t>
            </w:r>
          </w:p>
        </w:tc>
        <w:tc>
          <w:tcPr>
            <w:tcW w:w="416"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经济效益</w:t>
            </w:r>
          </w:p>
        </w:tc>
        <w:tc>
          <w:tcPr>
            <w:tcW w:w="416" w:type="dxa"/>
            <w:vMerge w:val="restart"/>
            <w:tcBorders>
              <w:top w:val="nil"/>
              <w:left w:val="single" w:sz="4" w:space="0" w:color="auto"/>
              <w:bottom w:val="nil"/>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4405" w:type="dxa"/>
            <w:gridSpan w:val="2"/>
            <w:vMerge w:val="restart"/>
            <w:tcBorders>
              <w:top w:val="single" w:sz="4" w:space="0" w:color="auto"/>
              <w:left w:val="single" w:sz="4" w:space="0" w:color="auto"/>
              <w:bottom w:val="nil"/>
              <w:right w:val="single" w:sz="4" w:space="0" w:color="000000"/>
            </w:tcBorders>
            <w:vAlign w:val="center"/>
          </w:tcPr>
          <w:p w:rsidR="00E6032D" w:rsidRDefault="00A60657">
            <w:pPr>
              <w:spacing w:line="240" w:lineRule="auto"/>
              <w:rPr>
                <w:rFonts w:hAnsi="仿宋_GB2312" w:cs="仿宋_GB2312"/>
                <w:sz w:val="20"/>
                <w:szCs w:val="20"/>
              </w:rPr>
            </w:pPr>
            <w:r>
              <w:rPr>
                <w:rFonts w:hAnsi="仿宋_GB2312" w:cs="仿宋_GB2312" w:hint="eastAsia"/>
                <w:kern w:val="0"/>
                <w:sz w:val="20"/>
                <w:szCs w:val="20"/>
              </w:rPr>
              <w:t>我单位已建成网格化模块，并开始运行。</w:t>
            </w:r>
            <w:r>
              <w:rPr>
                <w:rFonts w:hAnsi="仿宋_GB2312" w:cs="仿宋_GB2312" w:hint="eastAsia"/>
                <w:sz w:val="20"/>
                <w:szCs w:val="20"/>
              </w:rPr>
              <w:t>累计空气质量优良天数</w:t>
            </w:r>
            <w:r>
              <w:rPr>
                <w:rFonts w:hAnsi="仿宋_GB2312" w:cs="仿宋_GB2312" w:hint="eastAsia"/>
                <w:sz w:val="20"/>
                <w:szCs w:val="20"/>
              </w:rPr>
              <w:t>317</w:t>
            </w:r>
            <w:r>
              <w:rPr>
                <w:rFonts w:hAnsi="仿宋_GB2312" w:cs="仿宋_GB2312" w:hint="eastAsia"/>
                <w:sz w:val="20"/>
                <w:szCs w:val="20"/>
              </w:rPr>
              <w:t>天（去年</w:t>
            </w:r>
            <w:r>
              <w:rPr>
                <w:rFonts w:hAnsi="仿宋_GB2312" w:cs="仿宋_GB2312" w:hint="eastAsia"/>
                <w:sz w:val="20"/>
                <w:szCs w:val="20"/>
              </w:rPr>
              <w:t>301</w:t>
            </w:r>
            <w:r>
              <w:rPr>
                <w:rFonts w:hAnsi="仿宋_GB2312" w:cs="仿宋_GB2312" w:hint="eastAsia"/>
                <w:sz w:val="20"/>
                <w:szCs w:val="20"/>
              </w:rPr>
              <w:t>天），较去年同期增长</w:t>
            </w:r>
            <w:r>
              <w:rPr>
                <w:rFonts w:hAnsi="仿宋_GB2312" w:cs="仿宋_GB2312" w:hint="eastAsia"/>
                <w:sz w:val="20"/>
                <w:szCs w:val="20"/>
              </w:rPr>
              <w:t>16</w:t>
            </w:r>
            <w:r>
              <w:rPr>
                <w:rFonts w:hAnsi="仿宋_GB2312" w:cs="仿宋_GB2312" w:hint="eastAsia"/>
                <w:sz w:val="20"/>
                <w:szCs w:val="20"/>
              </w:rPr>
              <w:t>天，优良率</w:t>
            </w:r>
            <w:r>
              <w:rPr>
                <w:rFonts w:hAnsi="仿宋_GB2312" w:cs="仿宋_GB2312" w:hint="eastAsia"/>
                <w:sz w:val="20"/>
                <w:szCs w:val="20"/>
              </w:rPr>
              <w:t>88.55%</w:t>
            </w:r>
            <w:r>
              <w:rPr>
                <w:rFonts w:hAnsi="仿宋_GB2312" w:cs="仿宋_GB2312" w:hint="eastAsia"/>
                <w:sz w:val="20"/>
                <w:szCs w:val="20"/>
              </w:rPr>
              <w:t>，较去年同期提升</w:t>
            </w:r>
            <w:r>
              <w:rPr>
                <w:rFonts w:hAnsi="仿宋_GB2312" w:cs="仿宋_GB2312" w:hint="eastAsia"/>
                <w:sz w:val="20"/>
                <w:szCs w:val="20"/>
              </w:rPr>
              <w:t>4.47%;2018</w:t>
            </w:r>
            <w:r>
              <w:rPr>
                <w:rFonts w:hAnsi="仿宋_GB2312" w:cs="仿宋_GB2312" w:hint="eastAsia"/>
                <w:sz w:val="20"/>
                <w:szCs w:val="20"/>
              </w:rPr>
              <w:t>年</w:t>
            </w:r>
            <w:r>
              <w:rPr>
                <w:rFonts w:hAnsi="仿宋_GB2312" w:cs="仿宋_GB2312" w:hint="eastAsia"/>
                <w:sz w:val="20"/>
                <w:szCs w:val="20"/>
              </w:rPr>
              <w:t>7</w:t>
            </w:r>
            <w:r>
              <w:rPr>
                <w:rFonts w:hAnsi="仿宋_GB2312" w:cs="仿宋_GB2312" w:hint="eastAsia"/>
                <w:sz w:val="20"/>
                <w:szCs w:val="20"/>
              </w:rPr>
              <w:t>月</w:t>
            </w:r>
            <w:r>
              <w:rPr>
                <w:rFonts w:hAnsi="仿宋_GB2312" w:cs="仿宋_GB2312" w:hint="eastAsia"/>
                <w:sz w:val="20"/>
                <w:szCs w:val="20"/>
              </w:rPr>
              <w:t>1</w:t>
            </w:r>
            <w:r>
              <w:rPr>
                <w:rFonts w:hAnsi="仿宋_GB2312" w:cs="仿宋_GB2312" w:hint="eastAsia"/>
                <w:sz w:val="20"/>
                <w:szCs w:val="20"/>
              </w:rPr>
              <w:t>日至</w:t>
            </w:r>
            <w:r>
              <w:rPr>
                <w:rFonts w:hAnsi="仿宋_GB2312" w:cs="仿宋_GB2312" w:hint="eastAsia"/>
                <w:sz w:val="20"/>
                <w:szCs w:val="20"/>
              </w:rPr>
              <w:t>12</w:t>
            </w:r>
            <w:r>
              <w:rPr>
                <w:rFonts w:hAnsi="仿宋_GB2312" w:cs="仿宋_GB2312" w:hint="eastAsia"/>
                <w:sz w:val="20"/>
                <w:szCs w:val="20"/>
              </w:rPr>
              <w:t>月</w:t>
            </w:r>
            <w:r>
              <w:rPr>
                <w:rFonts w:hAnsi="仿宋_GB2312" w:cs="仿宋_GB2312" w:hint="eastAsia"/>
                <w:sz w:val="20"/>
                <w:szCs w:val="20"/>
              </w:rPr>
              <w:t>23</w:t>
            </w:r>
            <w:r>
              <w:rPr>
                <w:rFonts w:hAnsi="仿宋_GB2312" w:cs="仿宋_GB2312" w:hint="eastAsia"/>
                <w:sz w:val="20"/>
                <w:szCs w:val="20"/>
              </w:rPr>
              <w:t>日</w:t>
            </w:r>
            <w:r>
              <w:rPr>
                <w:rFonts w:hAnsi="仿宋_GB2312" w:cs="仿宋_GB2312" w:hint="eastAsia"/>
                <w:sz w:val="20"/>
                <w:szCs w:val="20"/>
              </w:rPr>
              <w:t>PM2.5</w:t>
            </w:r>
            <w:r>
              <w:rPr>
                <w:rFonts w:hAnsi="仿宋_GB2312" w:cs="仿宋_GB2312" w:hint="eastAsia"/>
                <w:sz w:val="20"/>
                <w:szCs w:val="20"/>
              </w:rPr>
              <w:t>与去年同期相比下降</w:t>
            </w:r>
            <w:r>
              <w:rPr>
                <w:rFonts w:hAnsi="仿宋_GB2312" w:cs="仿宋_GB2312" w:hint="eastAsia"/>
                <w:sz w:val="20"/>
                <w:szCs w:val="20"/>
              </w:rPr>
              <w:t>2.8%</w:t>
            </w:r>
            <w:r>
              <w:rPr>
                <w:rFonts w:hAnsi="仿宋_GB2312" w:cs="仿宋_GB2312" w:hint="eastAsia"/>
                <w:sz w:val="20"/>
                <w:szCs w:val="20"/>
              </w:rPr>
              <w:t>，</w:t>
            </w:r>
            <w:r>
              <w:rPr>
                <w:rFonts w:hAnsi="仿宋_GB2312" w:cs="仿宋_GB2312" w:hint="eastAsia"/>
                <w:sz w:val="20"/>
                <w:szCs w:val="20"/>
              </w:rPr>
              <w:t>PM10</w:t>
            </w:r>
            <w:r>
              <w:rPr>
                <w:rFonts w:hAnsi="仿宋_GB2312" w:cs="仿宋_GB2312" w:hint="eastAsia"/>
                <w:sz w:val="20"/>
                <w:szCs w:val="20"/>
              </w:rPr>
              <w:t>与去年同期相比下降</w:t>
            </w:r>
            <w:r>
              <w:rPr>
                <w:rFonts w:hAnsi="仿宋_GB2312" w:cs="仿宋_GB2312" w:hint="eastAsia"/>
                <w:sz w:val="20"/>
                <w:szCs w:val="20"/>
              </w:rPr>
              <w:t>13.3%</w:t>
            </w:r>
            <w:r>
              <w:rPr>
                <w:rFonts w:hAnsi="仿宋_GB2312" w:cs="仿宋_GB2312" w:hint="eastAsia"/>
                <w:sz w:val="20"/>
                <w:szCs w:val="20"/>
              </w:rPr>
              <w:t>。</w:t>
            </w:r>
            <w:r>
              <w:rPr>
                <w:rFonts w:hAnsi="仿宋_GB2312" w:cs="仿宋_GB2312" w:hint="eastAsia"/>
                <w:kern w:val="0"/>
                <w:sz w:val="20"/>
                <w:szCs w:val="20"/>
              </w:rPr>
              <w:t>取缔禁燃区散煤使用、销售点。开展环境教育基地创建，创建区级环境教育基地</w:t>
            </w:r>
            <w:r>
              <w:rPr>
                <w:rFonts w:hAnsi="仿宋_GB2312" w:cs="仿宋_GB2312" w:hint="eastAsia"/>
                <w:kern w:val="0"/>
                <w:sz w:val="20"/>
                <w:szCs w:val="20"/>
              </w:rPr>
              <w:t>1</w:t>
            </w:r>
            <w:r>
              <w:rPr>
                <w:rFonts w:hAnsi="仿宋_GB2312" w:cs="仿宋_GB2312" w:hint="eastAsia"/>
                <w:kern w:val="0"/>
                <w:sz w:val="20"/>
                <w:szCs w:val="20"/>
              </w:rPr>
              <w:t>个。推动工业污染源全面达标排放，完成第二批、第三批工业企业污染物达标标排放整治工作。</w:t>
            </w:r>
            <w:r>
              <w:rPr>
                <w:rFonts w:hAnsi="仿宋_GB2312" w:cs="仿宋_GB2312" w:hint="eastAsia"/>
                <w:sz w:val="20"/>
                <w:szCs w:val="20"/>
              </w:rPr>
              <w:t>完成</w:t>
            </w:r>
            <w:r>
              <w:rPr>
                <w:rFonts w:hAnsi="仿宋_GB2312" w:cs="仿宋_GB2312" w:hint="eastAsia"/>
                <w:sz w:val="20"/>
                <w:szCs w:val="20"/>
              </w:rPr>
              <w:t>8</w:t>
            </w:r>
            <w:r>
              <w:rPr>
                <w:rFonts w:hAnsi="仿宋_GB2312" w:cs="仿宋_GB2312" w:hint="eastAsia"/>
                <w:sz w:val="20"/>
                <w:szCs w:val="20"/>
              </w:rPr>
              <w:t>家汽车</w:t>
            </w:r>
            <w:r>
              <w:rPr>
                <w:rFonts w:hAnsi="仿宋_GB2312" w:cs="仿宋_GB2312" w:hint="eastAsia"/>
                <w:sz w:val="20"/>
                <w:szCs w:val="20"/>
              </w:rPr>
              <w:t>4S</w:t>
            </w:r>
            <w:r>
              <w:rPr>
                <w:rFonts w:hAnsi="仿宋_GB2312" w:cs="仿宋_GB2312" w:hint="eastAsia"/>
                <w:sz w:val="20"/>
                <w:szCs w:val="20"/>
              </w:rPr>
              <w:t>店</w:t>
            </w:r>
            <w:r>
              <w:rPr>
                <w:rFonts w:hAnsi="仿宋_GB2312" w:cs="仿宋_GB2312" w:hint="eastAsia"/>
                <w:sz w:val="20"/>
                <w:szCs w:val="20"/>
              </w:rPr>
              <w:t>和</w:t>
            </w:r>
            <w:r>
              <w:rPr>
                <w:rFonts w:hAnsi="仿宋_GB2312" w:cs="仿宋_GB2312" w:hint="eastAsia"/>
                <w:sz w:val="20"/>
                <w:szCs w:val="20"/>
              </w:rPr>
              <w:t>33</w:t>
            </w:r>
            <w:r>
              <w:rPr>
                <w:rFonts w:hAnsi="仿宋_GB2312" w:cs="仿宋_GB2312" w:hint="eastAsia"/>
                <w:sz w:val="20"/>
                <w:szCs w:val="20"/>
              </w:rPr>
              <w:t>家工业企业</w:t>
            </w:r>
            <w:r>
              <w:rPr>
                <w:rFonts w:hAnsi="仿宋_GB2312" w:cs="仿宋_GB2312" w:hint="eastAsia"/>
                <w:sz w:val="20"/>
                <w:szCs w:val="20"/>
              </w:rPr>
              <w:t>的挥发性有机物治理。</w:t>
            </w:r>
            <w:r>
              <w:rPr>
                <w:rFonts w:hAnsi="仿宋_GB2312" w:cs="仿宋_GB2312" w:hint="eastAsia"/>
                <w:kern w:val="0"/>
                <w:sz w:val="20"/>
                <w:szCs w:val="20"/>
              </w:rPr>
              <w:t>累计开展各类执法行动</w:t>
            </w:r>
            <w:r>
              <w:rPr>
                <w:rFonts w:hAnsi="仿宋_GB2312" w:cs="仿宋_GB2312" w:hint="eastAsia"/>
                <w:kern w:val="0"/>
                <w:sz w:val="20"/>
                <w:szCs w:val="20"/>
              </w:rPr>
              <w:t>185</w:t>
            </w:r>
            <w:r>
              <w:rPr>
                <w:rFonts w:hAnsi="仿宋_GB2312" w:cs="仿宋_GB2312" w:hint="eastAsia"/>
                <w:kern w:val="0"/>
                <w:sz w:val="20"/>
                <w:szCs w:val="20"/>
              </w:rPr>
              <w:t>次，检查企业</w:t>
            </w:r>
            <w:r>
              <w:rPr>
                <w:rFonts w:hAnsi="仿宋_GB2312" w:cs="仿宋_GB2312" w:hint="eastAsia"/>
                <w:kern w:val="0"/>
                <w:sz w:val="20"/>
                <w:szCs w:val="20"/>
              </w:rPr>
              <w:t>850</w:t>
            </w:r>
            <w:r>
              <w:rPr>
                <w:rFonts w:hAnsi="仿宋_GB2312" w:cs="仿宋_GB2312" w:hint="eastAsia"/>
                <w:kern w:val="0"/>
                <w:sz w:val="20"/>
                <w:szCs w:val="20"/>
              </w:rPr>
              <w:t>家次；共立案查处环境案件</w:t>
            </w:r>
            <w:r>
              <w:rPr>
                <w:rFonts w:hAnsi="仿宋_GB2312" w:cs="仿宋_GB2312" w:hint="eastAsia"/>
                <w:kern w:val="0"/>
                <w:sz w:val="20"/>
                <w:szCs w:val="20"/>
              </w:rPr>
              <w:t>124</w:t>
            </w:r>
            <w:r>
              <w:rPr>
                <w:rFonts w:hAnsi="仿宋_GB2312" w:cs="仿宋_GB2312" w:hint="eastAsia"/>
                <w:kern w:val="0"/>
                <w:sz w:val="20"/>
                <w:szCs w:val="20"/>
              </w:rPr>
              <w:t>起，</w:t>
            </w:r>
            <w:r>
              <w:rPr>
                <w:rFonts w:hAnsi="仿宋_GB2312" w:cs="仿宋_GB2312" w:hint="eastAsia"/>
                <w:sz w:val="20"/>
                <w:szCs w:val="20"/>
              </w:rPr>
              <w:t>共接群众信访投诉</w:t>
            </w:r>
            <w:r>
              <w:rPr>
                <w:rFonts w:hAnsi="仿宋_GB2312" w:cs="仿宋_GB2312" w:hint="eastAsia"/>
                <w:sz w:val="20"/>
                <w:szCs w:val="20"/>
              </w:rPr>
              <w:t>752</w:t>
            </w:r>
            <w:r>
              <w:rPr>
                <w:rFonts w:hAnsi="仿宋_GB2312" w:cs="仿宋_GB2312" w:hint="eastAsia"/>
                <w:sz w:val="20"/>
                <w:szCs w:val="20"/>
              </w:rPr>
              <w:t>起</w:t>
            </w:r>
            <w:r>
              <w:rPr>
                <w:rFonts w:hAnsi="仿宋_GB2312" w:cs="仿宋_GB2312" w:hint="eastAsia"/>
                <w:sz w:val="20"/>
                <w:szCs w:val="20"/>
              </w:rPr>
              <w:t>，处理率</w:t>
            </w:r>
            <w:r>
              <w:rPr>
                <w:rFonts w:hAnsi="仿宋_GB2312" w:cs="仿宋_GB2312" w:hint="eastAsia"/>
                <w:sz w:val="20"/>
                <w:szCs w:val="20"/>
              </w:rPr>
              <w:t>100%</w:t>
            </w:r>
            <w:r>
              <w:rPr>
                <w:rFonts w:hAnsi="仿宋_GB2312" w:cs="仿宋_GB2312" w:hint="eastAsia"/>
                <w:sz w:val="20"/>
                <w:szCs w:val="20"/>
              </w:rPr>
              <w:t>。</w:t>
            </w:r>
          </w:p>
          <w:p w:rsidR="00E6032D" w:rsidRDefault="00E6032D">
            <w:pPr>
              <w:widowControl/>
              <w:spacing w:line="240" w:lineRule="exact"/>
              <w:jc w:val="left"/>
              <w:rPr>
                <w:rFonts w:ascii="Times New Roman" w:hAnsi="Times New Roman"/>
                <w:kern w:val="0"/>
                <w:sz w:val="20"/>
                <w:szCs w:val="20"/>
              </w:rPr>
            </w:pPr>
          </w:p>
        </w:tc>
        <w:tc>
          <w:tcPr>
            <w:tcW w:w="825" w:type="dxa"/>
            <w:vMerge w:val="restart"/>
            <w:tcBorders>
              <w:top w:val="nil"/>
              <w:left w:val="nil"/>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6</w:t>
            </w:r>
          </w:p>
        </w:tc>
        <w:tc>
          <w:tcPr>
            <w:tcW w:w="1521" w:type="dxa"/>
            <w:tcBorders>
              <w:top w:val="nil"/>
              <w:left w:val="nil"/>
              <w:right w:val="single" w:sz="4" w:space="0" w:color="auto"/>
            </w:tcBorders>
          </w:tcPr>
          <w:p w:rsidR="00E6032D" w:rsidRDefault="00E6032D">
            <w:pPr>
              <w:widowControl/>
              <w:spacing w:line="280" w:lineRule="exact"/>
              <w:jc w:val="left"/>
            </w:pPr>
          </w:p>
          <w:p w:rsidR="00E6032D" w:rsidRDefault="00E6032D">
            <w:pPr>
              <w:pStyle w:val="a0"/>
            </w:pPr>
          </w:p>
          <w:p w:rsidR="00E6032D" w:rsidRDefault="00A60657" w:rsidP="009B53A4">
            <w:pPr>
              <w:pStyle w:val="4"/>
              <w:spacing w:before="156" w:after="156"/>
            </w:pPr>
            <w:r>
              <w:rPr>
                <w:rFonts w:hint="eastAsia"/>
                <w:sz w:val="20"/>
                <w:szCs w:val="20"/>
              </w:rPr>
              <w:t>效益良好</w:t>
            </w:r>
          </w:p>
        </w:tc>
      </w:tr>
      <w:tr w:rsidR="00E6032D">
        <w:trPr>
          <w:trHeight w:val="2244"/>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hint="eastAsia"/>
                <w:kern w:val="0"/>
                <w:sz w:val="20"/>
                <w:szCs w:val="20"/>
              </w:rPr>
              <w:t>社会效益</w:t>
            </w:r>
          </w:p>
        </w:tc>
        <w:tc>
          <w:tcPr>
            <w:tcW w:w="416" w:type="dxa"/>
            <w:vMerge/>
            <w:tcBorders>
              <w:top w:val="nil"/>
              <w:left w:val="single" w:sz="4" w:space="0" w:color="auto"/>
              <w:bottom w:val="nil"/>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405" w:type="dxa"/>
            <w:gridSpan w:val="2"/>
            <w:vMerge/>
            <w:tcBorders>
              <w:top w:val="single" w:sz="4" w:space="0" w:color="auto"/>
              <w:left w:val="single" w:sz="4" w:space="0" w:color="auto"/>
              <w:bottom w:val="nil"/>
              <w:right w:val="single" w:sz="4" w:space="0" w:color="000000"/>
            </w:tcBorders>
            <w:vAlign w:val="center"/>
          </w:tcPr>
          <w:p w:rsidR="00E6032D" w:rsidRDefault="00E6032D">
            <w:pPr>
              <w:widowControl/>
              <w:spacing w:line="240" w:lineRule="exact"/>
              <w:jc w:val="left"/>
              <w:rPr>
                <w:rFonts w:ascii="Times New Roman" w:hAnsi="Times New Roman"/>
                <w:kern w:val="0"/>
                <w:sz w:val="20"/>
                <w:szCs w:val="20"/>
              </w:rPr>
            </w:pPr>
          </w:p>
        </w:tc>
        <w:tc>
          <w:tcPr>
            <w:tcW w:w="825" w:type="dxa"/>
            <w:vMerge/>
            <w:tcBorders>
              <w:left w:val="nil"/>
              <w:bottom w:val="nil"/>
              <w:right w:val="single" w:sz="4" w:space="0" w:color="auto"/>
            </w:tcBorders>
            <w:vAlign w:val="center"/>
          </w:tcPr>
          <w:p w:rsidR="00E6032D" w:rsidRDefault="00E6032D">
            <w:pPr>
              <w:widowControl/>
              <w:spacing w:line="280" w:lineRule="exact"/>
              <w:jc w:val="left"/>
              <w:rPr>
                <w:rFonts w:ascii="Times New Roman" w:hAnsi="Times New Roman"/>
                <w:kern w:val="0"/>
                <w:sz w:val="24"/>
                <w:szCs w:val="24"/>
              </w:rPr>
            </w:pPr>
          </w:p>
        </w:tc>
        <w:tc>
          <w:tcPr>
            <w:tcW w:w="1521" w:type="dxa"/>
            <w:tcBorders>
              <w:left w:val="nil"/>
              <w:bottom w:val="nil"/>
              <w:right w:val="single" w:sz="4" w:space="0" w:color="auto"/>
            </w:tcBorders>
          </w:tcPr>
          <w:p w:rsidR="00E6032D" w:rsidRDefault="00E6032D">
            <w:pPr>
              <w:widowControl/>
              <w:spacing w:line="280" w:lineRule="exact"/>
              <w:jc w:val="left"/>
              <w:rPr>
                <w:rFonts w:ascii="Times New Roman" w:hAnsi="Times New Roman"/>
                <w:kern w:val="0"/>
                <w:sz w:val="24"/>
                <w:szCs w:val="24"/>
              </w:rPr>
            </w:pPr>
          </w:p>
        </w:tc>
      </w:tr>
      <w:tr w:rsidR="00E6032D">
        <w:trPr>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val="restart"/>
            <w:tcBorders>
              <w:top w:val="nil"/>
              <w:left w:val="single" w:sz="4" w:space="0" w:color="auto"/>
              <w:bottom w:val="single" w:sz="4" w:space="0" w:color="000000"/>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行政效能</w:t>
            </w:r>
          </w:p>
        </w:tc>
        <w:tc>
          <w:tcPr>
            <w:tcW w:w="416"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200" w:type="dxa"/>
            <w:tcBorders>
              <w:top w:val="single" w:sz="4" w:space="0" w:color="auto"/>
              <w:left w:val="nil"/>
              <w:bottom w:val="single" w:sz="4" w:space="0" w:color="auto"/>
              <w:right w:val="single" w:sz="4" w:space="0" w:color="auto"/>
            </w:tcBorders>
            <w:vAlign w:val="center"/>
          </w:tcPr>
          <w:p w:rsidR="00E6032D" w:rsidRDefault="00A60657">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ascii="Times New Roman" w:hAnsi="Times New Roman" w:hint="eastAsia"/>
                <w:kern w:val="0"/>
                <w:sz w:val="20"/>
                <w:szCs w:val="20"/>
              </w:rPr>
              <w:t>分；一般</w:t>
            </w:r>
            <w:r>
              <w:rPr>
                <w:rFonts w:ascii="Times New Roman" w:hAnsi="Times New Roman"/>
                <w:kern w:val="0"/>
                <w:sz w:val="20"/>
                <w:szCs w:val="20"/>
              </w:rPr>
              <w:t>3</w:t>
            </w:r>
            <w:r>
              <w:rPr>
                <w:rFonts w:ascii="Times New Roman" w:hAnsi="Times New Roman" w:hint="eastAsia"/>
                <w:kern w:val="0"/>
                <w:sz w:val="20"/>
                <w:szCs w:val="20"/>
              </w:rPr>
              <w:t>分；无效果或者效果不明显</w:t>
            </w:r>
            <w:r>
              <w:rPr>
                <w:rFonts w:ascii="Times New Roman" w:hAnsi="Times New Roman"/>
                <w:kern w:val="0"/>
                <w:sz w:val="20"/>
                <w:szCs w:val="20"/>
              </w:rPr>
              <w:t>0</w:t>
            </w:r>
            <w:r>
              <w:rPr>
                <w:rFonts w:ascii="Times New Roman" w:hAnsi="Times New Roman" w:hint="eastAsia"/>
                <w:kern w:val="0"/>
                <w:sz w:val="20"/>
                <w:szCs w:val="20"/>
              </w:rPr>
              <w:t>分。</w:t>
            </w:r>
          </w:p>
        </w:tc>
        <w:tc>
          <w:tcPr>
            <w:tcW w:w="2205"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根据部门自评材料评定。</w:t>
            </w:r>
          </w:p>
        </w:tc>
        <w:tc>
          <w:tcPr>
            <w:tcW w:w="825" w:type="dxa"/>
            <w:tcBorders>
              <w:top w:val="single" w:sz="4" w:space="0" w:color="auto"/>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6</w:t>
            </w:r>
          </w:p>
        </w:tc>
        <w:tc>
          <w:tcPr>
            <w:tcW w:w="1521" w:type="dxa"/>
            <w:tcBorders>
              <w:top w:val="single" w:sz="4" w:space="0" w:color="auto"/>
              <w:left w:val="nil"/>
              <w:bottom w:val="single" w:sz="4" w:space="0" w:color="auto"/>
              <w:right w:val="single" w:sz="4" w:space="0" w:color="auto"/>
            </w:tcBorders>
          </w:tcPr>
          <w:p w:rsidR="00E6032D" w:rsidRDefault="00A60657">
            <w:pPr>
              <w:widowControl/>
              <w:spacing w:line="280" w:lineRule="exact"/>
              <w:jc w:val="left"/>
              <w:rPr>
                <w:rFonts w:ascii="Times New Roman" w:hAnsi="Times New Roman"/>
                <w:kern w:val="0"/>
                <w:sz w:val="24"/>
                <w:szCs w:val="24"/>
              </w:rPr>
            </w:pPr>
            <w:r>
              <w:rPr>
                <w:rFonts w:hAnsi="仿宋_GB2312" w:cs="仿宋_GB2312" w:hint="eastAsia"/>
                <w:color w:val="000000"/>
                <w:sz w:val="20"/>
                <w:szCs w:val="20"/>
                <w:shd w:val="clear" w:color="auto" w:fill="FFFFFF"/>
              </w:rPr>
              <w:t>我单位不断改善行政管理、严格经费及资产管理，改进文风会风，精简会议，提高了行政效率，降低了行政成本</w:t>
            </w:r>
          </w:p>
        </w:tc>
      </w:tr>
      <w:tr w:rsidR="00E6032D">
        <w:trPr>
          <w:trHeight w:val="1250"/>
          <w:jc w:val="center"/>
        </w:trPr>
        <w:tc>
          <w:tcPr>
            <w:tcW w:w="648"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E6032D" w:rsidRDefault="00E6032D">
            <w:pPr>
              <w:widowControl/>
              <w:spacing w:line="280" w:lineRule="exact"/>
              <w:jc w:val="left"/>
              <w:rPr>
                <w:rFonts w:ascii="Times New Roman" w:hAnsi="Times New Roman"/>
                <w:kern w:val="0"/>
                <w:sz w:val="20"/>
                <w:szCs w:val="20"/>
              </w:rPr>
            </w:pPr>
          </w:p>
        </w:tc>
        <w:tc>
          <w:tcPr>
            <w:tcW w:w="1072"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社会公众或服务对象满意度</w:t>
            </w:r>
          </w:p>
        </w:tc>
        <w:tc>
          <w:tcPr>
            <w:tcW w:w="416" w:type="dxa"/>
            <w:tcBorders>
              <w:top w:val="nil"/>
              <w:left w:val="nil"/>
              <w:bottom w:val="single" w:sz="4" w:space="0" w:color="auto"/>
              <w:right w:val="single" w:sz="4" w:space="0" w:color="auto"/>
            </w:tcBorders>
            <w:vAlign w:val="center"/>
          </w:tcPr>
          <w:p w:rsidR="00E6032D" w:rsidRDefault="00A60657">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200" w:type="dxa"/>
            <w:tcBorders>
              <w:top w:val="nil"/>
              <w:left w:val="nil"/>
              <w:bottom w:val="single" w:sz="4" w:space="0" w:color="auto"/>
              <w:right w:val="single" w:sz="4" w:space="0" w:color="auto"/>
            </w:tcBorders>
            <w:vAlign w:val="center"/>
          </w:tcPr>
          <w:p w:rsidR="00E6032D" w:rsidRDefault="00A60657">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ascii="Times New Roman" w:hAnsi="Times New Roman" w:hint="eastAsia"/>
                <w:kern w:val="0"/>
                <w:sz w:val="20"/>
                <w:szCs w:val="20"/>
              </w:rPr>
              <w:t>（含）以上计</w:t>
            </w:r>
            <w:r>
              <w:rPr>
                <w:rFonts w:ascii="Times New Roman" w:hAnsi="Times New Roman"/>
                <w:kern w:val="0"/>
                <w:sz w:val="20"/>
                <w:szCs w:val="20"/>
              </w:rPr>
              <w:t>6</w:t>
            </w:r>
            <w:r>
              <w:rPr>
                <w:rFonts w:ascii="Times New Roman" w:hAnsi="Times New Roman" w:hint="eastAsia"/>
                <w:kern w:val="0"/>
                <w:sz w:val="20"/>
                <w:szCs w:val="20"/>
              </w:rPr>
              <w:t>分；</w:t>
            </w:r>
          </w:p>
          <w:p w:rsidR="00E6032D" w:rsidRDefault="00A60657">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ascii="Times New Roman" w:hAnsi="Times New Roman" w:hint="eastAsia"/>
                <w:kern w:val="0"/>
                <w:sz w:val="20"/>
                <w:szCs w:val="20"/>
              </w:rPr>
              <w:t>（含）</w:t>
            </w:r>
            <w:r>
              <w:rPr>
                <w:rFonts w:ascii="Times New Roman" w:hAnsi="Times New Roman"/>
                <w:kern w:val="0"/>
                <w:sz w:val="20"/>
                <w:szCs w:val="20"/>
              </w:rPr>
              <w:t>-90%</w:t>
            </w:r>
            <w:r>
              <w:rPr>
                <w:rFonts w:ascii="Times New Roman" w:hAnsi="Times New Roman" w:hint="eastAsia"/>
                <w:kern w:val="0"/>
                <w:sz w:val="20"/>
                <w:szCs w:val="20"/>
              </w:rPr>
              <w:t>，计</w:t>
            </w:r>
            <w:r>
              <w:rPr>
                <w:rFonts w:ascii="Times New Roman" w:hAnsi="Times New Roman"/>
                <w:kern w:val="0"/>
                <w:sz w:val="20"/>
                <w:szCs w:val="20"/>
              </w:rPr>
              <w:t>4</w:t>
            </w:r>
            <w:r>
              <w:rPr>
                <w:rFonts w:ascii="Times New Roman" w:hAnsi="Times New Roman" w:hint="eastAsia"/>
                <w:kern w:val="0"/>
                <w:sz w:val="20"/>
                <w:szCs w:val="20"/>
              </w:rPr>
              <w:t>分；</w:t>
            </w:r>
          </w:p>
          <w:p w:rsidR="00E6032D" w:rsidRDefault="00A60657">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ascii="Times New Roman" w:hAnsi="Times New Roman" w:hint="eastAsia"/>
                <w:kern w:val="0"/>
                <w:sz w:val="20"/>
                <w:szCs w:val="20"/>
              </w:rPr>
              <w:t>（含）</w:t>
            </w:r>
            <w:r>
              <w:rPr>
                <w:rFonts w:ascii="Times New Roman" w:hAnsi="Times New Roman"/>
                <w:kern w:val="0"/>
                <w:sz w:val="20"/>
                <w:szCs w:val="20"/>
              </w:rPr>
              <w:t>-80%</w:t>
            </w:r>
            <w:r>
              <w:rPr>
                <w:rFonts w:ascii="Times New Roman" w:hAnsi="Times New Roman" w:hint="eastAsia"/>
                <w:kern w:val="0"/>
                <w:sz w:val="20"/>
                <w:szCs w:val="20"/>
              </w:rPr>
              <w:t>，计</w:t>
            </w:r>
            <w:r>
              <w:rPr>
                <w:rFonts w:ascii="Times New Roman" w:hAnsi="Times New Roman"/>
                <w:kern w:val="0"/>
                <w:sz w:val="20"/>
                <w:szCs w:val="20"/>
              </w:rPr>
              <w:t>2</w:t>
            </w:r>
            <w:r>
              <w:rPr>
                <w:rFonts w:ascii="Times New Roman" w:hAnsi="Times New Roman" w:hint="eastAsia"/>
                <w:kern w:val="0"/>
                <w:sz w:val="20"/>
                <w:szCs w:val="20"/>
              </w:rPr>
              <w:t>分；</w:t>
            </w:r>
          </w:p>
          <w:p w:rsidR="00E6032D" w:rsidRDefault="00A60657">
            <w:pPr>
              <w:widowControl/>
              <w:spacing w:line="240" w:lineRule="exact"/>
              <w:jc w:val="left"/>
              <w:rPr>
                <w:rFonts w:ascii="Times New Roman" w:hAnsi="Times New Roman"/>
                <w:kern w:val="0"/>
                <w:sz w:val="20"/>
                <w:szCs w:val="20"/>
              </w:rPr>
            </w:pPr>
            <w:r>
              <w:rPr>
                <w:rFonts w:ascii="Times New Roman" w:hAnsi="Times New Roman" w:hint="eastAsia"/>
                <w:kern w:val="0"/>
                <w:sz w:val="20"/>
                <w:szCs w:val="20"/>
              </w:rPr>
              <w:t>低于</w:t>
            </w:r>
            <w:r>
              <w:rPr>
                <w:rFonts w:ascii="Times New Roman" w:hAnsi="Times New Roman"/>
                <w:kern w:val="0"/>
                <w:sz w:val="20"/>
                <w:szCs w:val="20"/>
              </w:rPr>
              <w:t>70%</w:t>
            </w:r>
            <w:r>
              <w:rPr>
                <w:rFonts w:ascii="Times New Roman" w:hAnsi="Times New Roman" w:hint="eastAsia"/>
                <w:kern w:val="0"/>
                <w:sz w:val="20"/>
                <w:szCs w:val="20"/>
              </w:rPr>
              <w:t>计</w:t>
            </w:r>
            <w:r>
              <w:rPr>
                <w:rFonts w:ascii="Times New Roman" w:hAnsi="Times New Roman"/>
                <w:kern w:val="0"/>
                <w:sz w:val="20"/>
                <w:szCs w:val="20"/>
              </w:rPr>
              <w:t>0</w:t>
            </w:r>
            <w:r>
              <w:rPr>
                <w:rFonts w:ascii="Times New Roman" w:hAnsi="Times New Roman" w:hint="eastAsia"/>
                <w:kern w:val="0"/>
                <w:sz w:val="20"/>
                <w:szCs w:val="20"/>
              </w:rPr>
              <w:t>分。</w:t>
            </w:r>
          </w:p>
        </w:tc>
        <w:tc>
          <w:tcPr>
            <w:tcW w:w="220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0"/>
                <w:szCs w:val="20"/>
              </w:rPr>
            </w:pPr>
            <w:r>
              <w:rPr>
                <w:rFonts w:ascii="Times New Roman" w:hAnsi="Times New Roman" w:hint="eastAsia"/>
                <w:kern w:val="0"/>
                <w:sz w:val="20"/>
                <w:szCs w:val="20"/>
              </w:rPr>
              <w:t>社会公众或服务对象是指部门（单位）履行职责而影响到的部门、群体或个人，一般采取社会调查的方式。</w:t>
            </w:r>
          </w:p>
        </w:tc>
        <w:tc>
          <w:tcPr>
            <w:tcW w:w="825" w:type="dxa"/>
            <w:tcBorders>
              <w:top w:val="nil"/>
              <w:left w:val="nil"/>
              <w:bottom w:val="single" w:sz="4" w:space="0" w:color="auto"/>
              <w:right w:val="single" w:sz="4" w:space="0" w:color="auto"/>
            </w:tcBorders>
            <w:vAlign w:val="center"/>
          </w:tcPr>
          <w:p w:rsidR="00E6032D" w:rsidRDefault="00A60657">
            <w:pPr>
              <w:widowControl/>
              <w:spacing w:line="280" w:lineRule="exact"/>
              <w:jc w:val="left"/>
              <w:rPr>
                <w:rFonts w:ascii="Times New Roman" w:hAnsi="Times New Roman"/>
                <w:kern w:val="0"/>
                <w:sz w:val="24"/>
                <w:szCs w:val="24"/>
              </w:rPr>
            </w:pPr>
            <w:r>
              <w:rPr>
                <w:rFonts w:ascii="Times New Roman" w:hAnsi="Times New Roman" w:hint="eastAsia"/>
                <w:kern w:val="0"/>
                <w:sz w:val="24"/>
                <w:szCs w:val="24"/>
              </w:rPr>
              <w:t xml:space="preserve">　</w:t>
            </w:r>
            <w:r>
              <w:rPr>
                <w:rFonts w:ascii="Times New Roman" w:hAnsi="Times New Roman" w:hint="eastAsia"/>
                <w:kern w:val="0"/>
                <w:sz w:val="24"/>
                <w:szCs w:val="24"/>
              </w:rPr>
              <w:t>6</w:t>
            </w:r>
          </w:p>
        </w:tc>
        <w:tc>
          <w:tcPr>
            <w:tcW w:w="1521" w:type="dxa"/>
            <w:tcBorders>
              <w:top w:val="nil"/>
              <w:left w:val="nil"/>
              <w:bottom w:val="single" w:sz="4" w:space="0" w:color="auto"/>
              <w:right w:val="single" w:sz="4" w:space="0" w:color="auto"/>
            </w:tcBorders>
          </w:tcPr>
          <w:p w:rsidR="00E6032D" w:rsidRDefault="00E6032D">
            <w:pPr>
              <w:widowControl/>
              <w:spacing w:line="280" w:lineRule="exact"/>
              <w:jc w:val="left"/>
              <w:rPr>
                <w:rFonts w:hAnsi="仿宋_GB2312" w:cs="仿宋_GB2312"/>
                <w:kern w:val="0"/>
                <w:sz w:val="20"/>
                <w:szCs w:val="20"/>
              </w:rPr>
            </w:pPr>
          </w:p>
          <w:p w:rsidR="00E6032D" w:rsidRDefault="00A60657">
            <w:pPr>
              <w:widowControl/>
              <w:spacing w:line="280" w:lineRule="exact"/>
              <w:jc w:val="left"/>
              <w:rPr>
                <w:rFonts w:ascii="Times New Roman" w:hAnsi="Times New Roman"/>
                <w:kern w:val="0"/>
                <w:sz w:val="24"/>
                <w:szCs w:val="24"/>
              </w:rPr>
            </w:pPr>
            <w:r>
              <w:rPr>
                <w:rFonts w:hAnsi="仿宋_GB2312" w:cs="仿宋_GB2312" w:hint="eastAsia"/>
                <w:kern w:val="0"/>
                <w:sz w:val="20"/>
                <w:szCs w:val="20"/>
              </w:rPr>
              <w:t>未收到不满意的反馈意见。</w:t>
            </w:r>
          </w:p>
        </w:tc>
      </w:tr>
    </w:tbl>
    <w:p w:rsidR="00E6032D" w:rsidRDefault="00E6032D">
      <w:pPr>
        <w:spacing w:line="360" w:lineRule="auto"/>
      </w:pPr>
    </w:p>
    <w:sectPr w:rsidR="00E6032D" w:rsidSect="00E6032D">
      <w:footerReference w:type="even" r:id="rId7"/>
      <w:footerReference w:type="default" r:id="rId8"/>
      <w:footerReference w:type="firs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0657" w:rsidRDefault="00A60657" w:rsidP="00E6032D">
      <w:pPr>
        <w:spacing w:line="240" w:lineRule="auto"/>
      </w:pPr>
      <w:r>
        <w:separator/>
      </w:r>
    </w:p>
  </w:endnote>
  <w:endnote w:type="continuationSeparator" w:id="1">
    <w:p w:rsidR="00A60657" w:rsidRDefault="00A60657" w:rsidP="00E6032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default"/>
    <w:sig w:usb0="00000000" w:usb1="0000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60954067"/>
    </w:sdtPr>
    <w:sdtContent>
      <w:p w:rsidR="00E6032D" w:rsidRDefault="00E6032D">
        <w:pPr>
          <w:pStyle w:val="a4"/>
        </w:pPr>
        <w:r>
          <w:fldChar w:fldCharType="begin"/>
        </w:r>
        <w:r w:rsidR="00A60657">
          <w:instrText>PAGE   \* MERGEFORMAT</w:instrText>
        </w:r>
        <w:r>
          <w:fldChar w:fldCharType="separate"/>
        </w:r>
        <w:r w:rsidR="00A60657">
          <w:rPr>
            <w:lang w:val="zh-CN"/>
          </w:rPr>
          <w:t>-</w:t>
        </w:r>
        <w:r w:rsidR="00A60657">
          <w:t xml:space="preserve"> 14 -</w:t>
        </w:r>
        <w:r>
          <w:fldChar w:fldCharType="end"/>
        </w:r>
      </w:p>
    </w:sdtContent>
  </w:sdt>
  <w:p w:rsidR="00E6032D" w:rsidRDefault="00E6032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sdtPr>
    <w:sdtContent>
      <w:p w:rsidR="00E6032D" w:rsidRDefault="00E6032D">
        <w:pPr>
          <w:pStyle w:val="a4"/>
          <w:jc w:val="right"/>
        </w:pPr>
        <w:r>
          <w:fldChar w:fldCharType="begin"/>
        </w:r>
        <w:r w:rsidR="00A60657">
          <w:instrText>PAGE   \* MERGEFORMAT</w:instrText>
        </w:r>
        <w:r>
          <w:fldChar w:fldCharType="separate"/>
        </w:r>
        <w:r w:rsidR="009B53A4" w:rsidRPr="009B53A4">
          <w:rPr>
            <w:noProof/>
            <w:lang w:val="zh-CN"/>
          </w:rPr>
          <w:t>1</w:t>
        </w:r>
        <w:r>
          <w:fldChar w:fldCharType="end"/>
        </w:r>
      </w:p>
    </w:sdtContent>
  </w:sdt>
  <w:p w:rsidR="00E6032D" w:rsidRDefault="00E6032D">
    <w:pPr>
      <w:pStyle w:val="a4"/>
      <w:ind w:right="9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32D" w:rsidRDefault="00E6032D">
    <w:pPr>
      <w:pStyle w:val="a4"/>
    </w:pPr>
  </w:p>
  <w:p w:rsidR="00E6032D" w:rsidRDefault="00A60657">
    <w:pPr>
      <w:pStyle w:val="a4"/>
    </w:pPr>
    <w:r>
      <w:rPr>
        <w:rFonts w:hint="eastAsia"/>
      </w:rPr>
      <w:t>15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0657" w:rsidRDefault="00A60657" w:rsidP="00E6032D">
      <w:pPr>
        <w:spacing w:line="240" w:lineRule="auto"/>
      </w:pPr>
      <w:r>
        <w:separator/>
      </w:r>
    </w:p>
  </w:footnote>
  <w:footnote w:type="continuationSeparator" w:id="1">
    <w:p w:rsidR="00A60657" w:rsidRDefault="00A60657" w:rsidP="00E6032D">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3104710"/>
    <w:rsid w:val="009B53A4"/>
    <w:rsid w:val="00A60657"/>
    <w:rsid w:val="00E6032D"/>
    <w:rsid w:val="010821AA"/>
    <w:rsid w:val="03104710"/>
    <w:rsid w:val="16A14A5B"/>
    <w:rsid w:val="1EF4279C"/>
    <w:rsid w:val="2B63561B"/>
    <w:rsid w:val="2BD02D3D"/>
    <w:rsid w:val="32CF739B"/>
    <w:rsid w:val="3B2B7CC6"/>
    <w:rsid w:val="3B3E4362"/>
    <w:rsid w:val="472B0AB5"/>
    <w:rsid w:val="50324304"/>
    <w:rsid w:val="62063AF1"/>
    <w:rsid w:val="65073589"/>
    <w:rsid w:val="6816751D"/>
    <w:rsid w:val="7FD11CB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E6032D"/>
    <w:pPr>
      <w:widowControl w:val="0"/>
      <w:spacing w:line="580" w:lineRule="exact"/>
      <w:jc w:val="both"/>
    </w:pPr>
    <w:rPr>
      <w:rFonts w:ascii="仿宋_GB2312" w:eastAsia="仿宋_GB2312" w:hAnsi="Calibri"/>
      <w:kern w:val="2"/>
      <w:sz w:val="32"/>
      <w:szCs w:val="32"/>
    </w:rPr>
  </w:style>
  <w:style w:type="paragraph" w:styleId="4">
    <w:name w:val="heading 4"/>
    <w:basedOn w:val="a"/>
    <w:next w:val="a"/>
    <w:qFormat/>
    <w:rsid w:val="00E6032D"/>
    <w:pPr>
      <w:keepNext/>
      <w:keepLines/>
      <w:spacing w:beforeLines="50" w:afterLines="50" w:line="240" w:lineRule="auto"/>
      <w:outlineLvl w:val="3"/>
    </w:pPr>
    <w:rPr>
      <w:rFonts w:ascii="Arial" w:eastAsia="宋体" w:hAnsi="Arial"/>
      <w:sz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4"/>
    <w:qFormat/>
    <w:rsid w:val="00E6032D"/>
    <w:pPr>
      <w:jc w:val="left"/>
      <w:outlineLvl w:val="0"/>
    </w:pPr>
    <w:rPr>
      <w:rFonts w:ascii="Arial" w:hAnsi="Arial"/>
      <w:b/>
    </w:rPr>
  </w:style>
  <w:style w:type="paragraph" w:styleId="a4">
    <w:name w:val="footer"/>
    <w:basedOn w:val="a"/>
    <w:uiPriority w:val="99"/>
    <w:qFormat/>
    <w:rsid w:val="00E6032D"/>
    <w:pPr>
      <w:tabs>
        <w:tab w:val="center" w:pos="4153"/>
        <w:tab w:val="right" w:pos="8306"/>
      </w:tabs>
      <w:snapToGrid w:val="0"/>
      <w:spacing w:line="240" w:lineRule="atLeast"/>
      <w:jc w:val="left"/>
    </w:pPr>
    <w:rPr>
      <w:sz w:val="18"/>
      <w:szCs w:val="18"/>
    </w:rPr>
  </w:style>
  <w:style w:type="paragraph" w:styleId="a5">
    <w:name w:val="Balloon Text"/>
    <w:basedOn w:val="a"/>
    <w:link w:val="Char"/>
    <w:rsid w:val="009B53A4"/>
    <w:pPr>
      <w:spacing w:line="240" w:lineRule="auto"/>
    </w:pPr>
    <w:rPr>
      <w:sz w:val="18"/>
      <w:szCs w:val="18"/>
    </w:rPr>
  </w:style>
  <w:style w:type="character" w:customStyle="1" w:styleId="Char">
    <w:name w:val="批注框文本 Char"/>
    <w:basedOn w:val="a1"/>
    <w:link w:val="a5"/>
    <w:rsid w:val="009B53A4"/>
    <w:rPr>
      <w:rFonts w:ascii="仿宋_GB2312" w:eastAsia="仿宋_GB2312" w:hAnsi="Calibri"/>
      <w:kern w:val="2"/>
      <w:sz w:val="18"/>
      <w:szCs w:val="18"/>
    </w:rPr>
  </w:style>
  <w:style w:type="paragraph" w:styleId="a6">
    <w:name w:val="header"/>
    <w:basedOn w:val="a"/>
    <w:link w:val="Char0"/>
    <w:rsid w:val="009B53A4"/>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1"/>
    <w:link w:val="a6"/>
    <w:rsid w:val="009B53A4"/>
    <w:rPr>
      <w:rFonts w:ascii="仿宋_GB2312" w:eastAsia="仿宋_GB2312"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380</Words>
  <Characters>2172</Characters>
  <Application>Microsoft Office Word</Application>
  <DocSecurity>0</DocSecurity>
  <Lines>18</Lines>
  <Paragraphs>5</Paragraphs>
  <ScaleCrop>false</ScaleCrop>
  <Company>Microsoft</Company>
  <LinksUpToDate>false</LinksUpToDate>
  <CharactersWithSpaces>2547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杨李</dc:creator>
  <cp:lastModifiedBy>Microsoft</cp:lastModifiedBy>
  <cp:revision>2</cp:revision>
  <cp:lastPrinted>2019-04-24T03:27:00Z</cp:lastPrinted>
  <dcterms:created xsi:type="dcterms:W3CDTF">2019-04-22T01:44:00Z</dcterms:created>
  <dcterms:modified xsi:type="dcterms:W3CDTF">2020-01-20T06:00:00Z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