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1100" w:lineRule="exact"/>
        <w:jc w:val="center"/>
        <w:rPr>
          <w:rFonts w:ascii="黑体" w:hAnsi="黑体" w:eastAsia="黑体" w:cs="黑体"/>
          <w:b/>
          <w:color w:val="000000" w:themeColor="text1"/>
          <w:sz w:val="80"/>
          <w:szCs w:val="80"/>
        </w:rPr>
      </w:pPr>
      <w:bookmarkStart w:id="21" w:name="_GoBack"/>
      <w:bookmarkEnd w:id="21"/>
      <w:r>
        <w:rPr>
          <w:rFonts w:hint="eastAsia" w:ascii="黑体" w:hAnsi="黑体" w:eastAsia="黑体" w:cs="黑体"/>
          <w:b/>
          <w:color w:val="000000" w:themeColor="text1"/>
          <w:sz w:val="80"/>
          <w:szCs w:val="80"/>
        </w:rPr>
        <w:t>部</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门</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整</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体</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支</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出</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绩</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效</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评</w:t>
      </w:r>
    </w:p>
    <w:p>
      <w:pPr>
        <w:spacing w:after="0" w:line="1100" w:lineRule="exact"/>
        <w:jc w:val="center"/>
        <w:rPr>
          <w:rFonts w:ascii="黑体" w:hAnsi="黑体" w:eastAsia="黑体" w:cs="黑体"/>
          <w:b/>
          <w:color w:val="000000" w:themeColor="text1"/>
          <w:sz w:val="80"/>
          <w:szCs w:val="80"/>
        </w:rPr>
      </w:pPr>
      <w:r>
        <w:rPr>
          <w:rFonts w:hint="eastAsia" w:ascii="黑体" w:hAnsi="黑体" w:eastAsia="黑体" w:cs="黑体"/>
          <w:b/>
          <w:color w:val="000000" w:themeColor="text1"/>
          <w:sz w:val="80"/>
          <w:szCs w:val="80"/>
        </w:rPr>
        <w:t>价</w:t>
      </w:r>
    </w:p>
    <w:p>
      <w:pPr>
        <w:spacing w:after="0" w:line="1200" w:lineRule="exact"/>
        <w:jc w:val="both"/>
        <w:rPr>
          <w:rFonts w:ascii="宋体" w:hAnsi="宋体" w:cs="宋体"/>
          <w:b/>
          <w:color w:val="000000" w:themeColor="text1"/>
          <w:sz w:val="52"/>
          <w:szCs w:val="52"/>
        </w:rPr>
      </w:pPr>
    </w:p>
    <w:p>
      <w:pPr>
        <w:spacing w:after="0" w:line="600" w:lineRule="exact"/>
        <w:jc w:val="center"/>
        <w:rPr>
          <w:rFonts w:ascii="宋体" w:cs="宋体"/>
          <w:b/>
          <w:color w:val="000000" w:themeColor="text1"/>
          <w:sz w:val="52"/>
          <w:szCs w:val="52"/>
        </w:rPr>
      </w:pPr>
      <w:r>
        <w:rPr>
          <w:rFonts w:hint="eastAsia" w:ascii="黑体" w:hAnsi="黑体" w:eastAsia="黑体" w:cs="黑体"/>
          <w:b/>
          <w:bCs/>
          <w:color w:val="000000" w:themeColor="text1"/>
          <w:sz w:val="44"/>
          <w:szCs w:val="44"/>
        </w:rPr>
        <w:t>长沙市望城区市政设维护中心</w:t>
      </w:r>
    </w:p>
    <w:p>
      <w:pPr>
        <w:spacing w:after="0" w:line="600" w:lineRule="exact"/>
        <w:jc w:val="center"/>
        <w:rPr>
          <w:rFonts w:ascii="黑体" w:hAnsi="黑体" w:eastAsia="黑体" w:cs="黑体"/>
          <w:b/>
          <w:bCs/>
          <w:color w:val="000000" w:themeColor="text1"/>
          <w:sz w:val="44"/>
          <w:szCs w:val="44"/>
        </w:rPr>
      </w:pPr>
      <w:r>
        <w:rPr>
          <w:rFonts w:hint="eastAsia" w:ascii="黑体" w:hAnsi="黑体" w:eastAsia="黑体" w:cs="黑体"/>
          <w:b/>
          <w:bCs/>
          <w:color w:val="000000" w:themeColor="text1"/>
          <w:sz w:val="44"/>
          <w:szCs w:val="44"/>
        </w:rPr>
        <w:t>2020年4月</w:t>
      </w:r>
    </w:p>
    <w:p>
      <w:pPr>
        <w:jc w:val="center"/>
        <w:rPr>
          <w:rFonts w:ascii="宋体"/>
          <w:b/>
          <w:bCs/>
          <w:color w:val="000000" w:themeColor="text1"/>
          <w:sz w:val="44"/>
          <w:szCs w:val="44"/>
        </w:rPr>
      </w:pPr>
      <w:r>
        <w:rPr>
          <w:rFonts w:hint="eastAsia" w:ascii="宋体" w:hAnsi="宋体"/>
          <w:b/>
          <w:bCs/>
          <w:color w:val="000000" w:themeColor="text1"/>
          <w:sz w:val="44"/>
          <w:szCs w:val="44"/>
        </w:rPr>
        <w:t>目录</w:t>
      </w:r>
    </w:p>
    <w:p>
      <w:pPr>
        <w:jc w:val="center"/>
        <w:rPr>
          <w:rFonts w:ascii="宋体"/>
          <w:b/>
          <w:bCs/>
          <w:color w:val="000000" w:themeColor="text1"/>
          <w:sz w:val="44"/>
          <w:szCs w:val="44"/>
        </w:rPr>
      </w:pPr>
    </w:p>
    <w:p>
      <w:pPr>
        <w:pStyle w:val="9"/>
        <w:tabs>
          <w:tab w:val="right" w:leader="dot" w:pos="8306"/>
        </w:tabs>
        <w:spacing w:line="500" w:lineRule="exact"/>
        <w:rPr>
          <w:rFonts w:ascii="仿宋" w:hAnsi="仿宋" w:eastAsia="仿宋" w:cs="仿宋"/>
          <w:b/>
          <w:bCs/>
          <w:sz w:val="24"/>
          <w:szCs w:val="24"/>
        </w:rPr>
      </w:pPr>
      <w:r>
        <w:rPr>
          <w:rFonts w:hint="eastAsia" w:ascii="仿宋" w:hAnsi="仿宋" w:eastAsia="仿宋" w:cs="仿宋"/>
          <w:color w:val="000000" w:themeColor="text1"/>
          <w:sz w:val="24"/>
          <w:szCs w:val="24"/>
        </w:rPr>
        <w:fldChar w:fldCharType="begin"/>
      </w:r>
      <w:r>
        <w:rPr>
          <w:rFonts w:hint="eastAsia" w:ascii="仿宋" w:hAnsi="仿宋" w:eastAsia="仿宋" w:cs="仿宋"/>
          <w:color w:val="000000" w:themeColor="text1"/>
          <w:sz w:val="24"/>
          <w:szCs w:val="24"/>
        </w:rPr>
        <w:instrText xml:space="preserve"> TOC \o "1-3" \h \z \u </w:instrText>
      </w:r>
      <w:r>
        <w:rPr>
          <w:rFonts w:hint="eastAsia" w:ascii="仿宋" w:hAnsi="仿宋" w:eastAsia="仿宋" w:cs="仿宋"/>
          <w:color w:val="000000" w:themeColor="text1"/>
          <w:sz w:val="24"/>
          <w:szCs w:val="24"/>
        </w:rPr>
        <w:fldChar w:fldCharType="separate"/>
      </w:r>
      <w:r>
        <w:fldChar w:fldCharType="begin"/>
      </w:r>
      <w:r>
        <w:instrText xml:space="preserve"> HYPERLINK \l "_Toc30453" </w:instrText>
      </w:r>
      <w:r>
        <w:fldChar w:fldCharType="separate"/>
      </w:r>
      <w:r>
        <w:rPr>
          <w:rFonts w:hint="eastAsia" w:ascii="仿宋" w:hAnsi="仿宋" w:eastAsia="仿宋" w:cs="仿宋"/>
          <w:b/>
          <w:bCs/>
          <w:sz w:val="24"/>
          <w:szCs w:val="24"/>
        </w:rPr>
        <w:t>一 部门概况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_Toc30453 </w:instrText>
      </w:r>
      <w:r>
        <w:rPr>
          <w:rFonts w:hint="eastAsia" w:ascii="仿宋" w:hAnsi="仿宋" w:eastAsia="仿宋" w:cs="仿宋"/>
          <w:b/>
          <w:bCs/>
          <w:sz w:val="24"/>
          <w:szCs w:val="24"/>
        </w:rPr>
        <w:fldChar w:fldCharType="separate"/>
      </w:r>
      <w:r>
        <w:rPr>
          <w:rFonts w:ascii="仿宋" w:hAnsi="仿宋" w:eastAsia="仿宋" w:cs="仿宋"/>
          <w:b/>
          <w:bCs/>
          <w:sz w:val="24"/>
          <w:szCs w:val="24"/>
        </w:rPr>
        <w:t>3</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9"/>
        <w:tabs>
          <w:tab w:val="right" w:leader="dot" w:pos="8306"/>
        </w:tabs>
        <w:spacing w:line="500" w:lineRule="exact"/>
        <w:rPr>
          <w:rFonts w:ascii="仿宋" w:hAnsi="仿宋" w:eastAsia="仿宋" w:cs="仿宋"/>
          <w:b/>
          <w:bCs/>
          <w:sz w:val="24"/>
          <w:szCs w:val="24"/>
        </w:rPr>
      </w:pPr>
      <w:r>
        <w:fldChar w:fldCharType="begin"/>
      </w:r>
      <w:r>
        <w:instrText xml:space="preserve"> HYPERLINK \l "_Toc16493" </w:instrText>
      </w:r>
      <w:r>
        <w:fldChar w:fldCharType="separate"/>
      </w:r>
      <w:r>
        <w:rPr>
          <w:rFonts w:hint="eastAsia" w:ascii="仿宋" w:hAnsi="仿宋" w:eastAsia="仿宋" w:cs="仿宋"/>
          <w:b/>
          <w:bCs/>
          <w:sz w:val="24"/>
          <w:szCs w:val="24"/>
        </w:rPr>
        <w:t>二 部门整体支出预算管理及执行情况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_Toc16493 </w:instrText>
      </w:r>
      <w:r>
        <w:rPr>
          <w:rFonts w:hint="eastAsia" w:ascii="仿宋" w:hAnsi="仿宋" w:eastAsia="仿宋" w:cs="仿宋"/>
          <w:b/>
          <w:bCs/>
          <w:sz w:val="24"/>
          <w:szCs w:val="24"/>
        </w:rPr>
        <w:fldChar w:fldCharType="separate"/>
      </w:r>
      <w:r>
        <w:rPr>
          <w:rFonts w:ascii="仿宋" w:hAnsi="仿宋" w:eastAsia="仿宋" w:cs="仿宋"/>
          <w:b/>
          <w:bCs/>
          <w:sz w:val="24"/>
          <w:szCs w:val="24"/>
        </w:rPr>
        <w:t>4</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0"/>
        <w:tabs>
          <w:tab w:val="right" w:leader="dot" w:pos="8306"/>
        </w:tabs>
        <w:spacing w:line="500" w:lineRule="exact"/>
        <w:ind w:left="440"/>
        <w:rPr>
          <w:rFonts w:ascii="仿宋" w:hAnsi="仿宋" w:eastAsia="仿宋" w:cs="仿宋"/>
          <w:b/>
          <w:bCs/>
          <w:sz w:val="24"/>
          <w:szCs w:val="24"/>
        </w:rPr>
      </w:pPr>
      <w:r>
        <w:fldChar w:fldCharType="begin"/>
      </w:r>
      <w:r>
        <w:instrText xml:space="preserve"> HYPERLINK \l "_Toc14894" </w:instrText>
      </w:r>
      <w:r>
        <w:fldChar w:fldCharType="separate"/>
      </w:r>
      <w:r>
        <w:rPr>
          <w:rFonts w:hint="eastAsia" w:ascii="仿宋" w:hAnsi="仿宋" w:eastAsia="仿宋" w:cs="仿宋"/>
          <w:b/>
          <w:bCs/>
          <w:sz w:val="24"/>
          <w:szCs w:val="24"/>
        </w:rPr>
        <w:t>（一）年度预算收支情况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_Toc14894 </w:instrText>
      </w:r>
      <w:r>
        <w:rPr>
          <w:rFonts w:hint="eastAsia" w:ascii="仿宋" w:hAnsi="仿宋" w:eastAsia="仿宋" w:cs="仿宋"/>
          <w:b/>
          <w:bCs/>
          <w:sz w:val="24"/>
          <w:szCs w:val="24"/>
        </w:rPr>
        <w:fldChar w:fldCharType="separate"/>
      </w:r>
      <w:r>
        <w:rPr>
          <w:rFonts w:ascii="仿宋" w:hAnsi="仿宋" w:eastAsia="仿宋" w:cs="仿宋"/>
          <w:b/>
          <w:bCs/>
          <w:sz w:val="24"/>
          <w:szCs w:val="24"/>
        </w:rPr>
        <w:t>4</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0"/>
        <w:tabs>
          <w:tab w:val="right" w:leader="dot" w:pos="8306"/>
        </w:tabs>
        <w:spacing w:line="500" w:lineRule="exact"/>
        <w:ind w:left="440"/>
        <w:rPr>
          <w:rFonts w:ascii="仿宋" w:hAnsi="仿宋" w:eastAsia="仿宋" w:cs="仿宋"/>
          <w:b/>
          <w:bCs/>
          <w:sz w:val="24"/>
          <w:szCs w:val="24"/>
        </w:rPr>
      </w:pPr>
      <w:r>
        <w:fldChar w:fldCharType="begin"/>
      </w:r>
      <w:r>
        <w:instrText xml:space="preserve"> HYPERLINK \l "_Toc17246" </w:instrText>
      </w:r>
      <w:r>
        <w:fldChar w:fldCharType="separate"/>
      </w:r>
      <w:r>
        <w:rPr>
          <w:rFonts w:hint="eastAsia" w:ascii="仿宋" w:hAnsi="仿宋" w:eastAsia="仿宋" w:cs="仿宋"/>
          <w:b/>
          <w:bCs/>
          <w:sz w:val="24"/>
          <w:szCs w:val="24"/>
        </w:rPr>
        <w:t>（二）基本支出管理情况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_Toc17246 </w:instrText>
      </w:r>
      <w:r>
        <w:rPr>
          <w:rFonts w:hint="eastAsia" w:ascii="仿宋" w:hAnsi="仿宋" w:eastAsia="仿宋" w:cs="仿宋"/>
          <w:b/>
          <w:bCs/>
          <w:sz w:val="24"/>
          <w:szCs w:val="24"/>
        </w:rPr>
        <w:fldChar w:fldCharType="separate"/>
      </w:r>
      <w:r>
        <w:rPr>
          <w:rFonts w:ascii="仿宋" w:hAnsi="仿宋" w:eastAsia="仿宋" w:cs="仿宋"/>
          <w:b/>
          <w:bCs/>
          <w:sz w:val="24"/>
          <w:szCs w:val="24"/>
        </w:rPr>
        <w:t>5</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5"/>
        <w:tabs>
          <w:tab w:val="right" w:leader="dot" w:pos="8306"/>
        </w:tabs>
        <w:spacing w:line="500" w:lineRule="exact"/>
        <w:ind w:left="880"/>
        <w:rPr>
          <w:rFonts w:ascii="仿宋" w:hAnsi="仿宋" w:eastAsia="仿宋" w:cs="仿宋"/>
          <w:b/>
          <w:bCs/>
          <w:sz w:val="24"/>
          <w:szCs w:val="24"/>
        </w:rPr>
      </w:pPr>
      <w:r>
        <w:fldChar w:fldCharType="begin"/>
      </w:r>
      <w:r>
        <w:instrText xml:space="preserve"> HYPERLINK \l "_Toc6563" </w:instrText>
      </w:r>
      <w:r>
        <w:fldChar w:fldCharType="separate"/>
      </w:r>
      <w:r>
        <w:rPr>
          <w:rFonts w:hint="eastAsia" w:ascii="仿宋" w:hAnsi="仿宋" w:eastAsia="仿宋" w:cs="仿宋"/>
          <w:b/>
          <w:bCs/>
          <w:sz w:val="24"/>
          <w:szCs w:val="24"/>
        </w:rPr>
        <w:t>1.基本支出本年使用情况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_Toc6563 </w:instrText>
      </w:r>
      <w:r>
        <w:rPr>
          <w:rFonts w:hint="eastAsia" w:ascii="仿宋" w:hAnsi="仿宋" w:eastAsia="仿宋" w:cs="仿宋"/>
          <w:b/>
          <w:bCs/>
          <w:sz w:val="24"/>
          <w:szCs w:val="24"/>
        </w:rPr>
        <w:fldChar w:fldCharType="separate"/>
      </w:r>
      <w:r>
        <w:rPr>
          <w:rFonts w:ascii="仿宋" w:hAnsi="仿宋" w:eastAsia="仿宋" w:cs="仿宋"/>
          <w:b/>
          <w:bCs/>
          <w:sz w:val="24"/>
          <w:szCs w:val="24"/>
        </w:rPr>
        <w:t>5</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5"/>
        <w:tabs>
          <w:tab w:val="right" w:leader="dot" w:pos="8306"/>
        </w:tabs>
        <w:spacing w:line="500" w:lineRule="exact"/>
        <w:ind w:left="880"/>
        <w:rPr>
          <w:rFonts w:ascii="仿宋" w:hAnsi="仿宋" w:eastAsia="仿宋" w:cs="仿宋"/>
          <w:b/>
          <w:bCs/>
          <w:sz w:val="24"/>
          <w:szCs w:val="24"/>
        </w:rPr>
      </w:pPr>
      <w:r>
        <w:fldChar w:fldCharType="begin"/>
      </w:r>
      <w:r>
        <w:instrText xml:space="preserve"> HYPERLINK \l "_Toc454" </w:instrText>
      </w:r>
      <w:r>
        <w:fldChar w:fldCharType="separate"/>
      </w:r>
      <w:r>
        <w:rPr>
          <w:rFonts w:hint="eastAsia" w:ascii="仿宋" w:hAnsi="仿宋" w:eastAsia="仿宋" w:cs="仿宋"/>
          <w:b/>
          <w:bCs/>
          <w:sz w:val="24"/>
          <w:szCs w:val="24"/>
        </w:rPr>
        <w:t>2.本年基本支出预算执行情况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_Toc454 </w:instrText>
      </w:r>
      <w:r>
        <w:rPr>
          <w:rFonts w:hint="eastAsia" w:ascii="仿宋" w:hAnsi="仿宋" w:eastAsia="仿宋" w:cs="仿宋"/>
          <w:b/>
          <w:bCs/>
          <w:sz w:val="24"/>
          <w:szCs w:val="24"/>
        </w:rPr>
        <w:fldChar w:fldCharType="separate"/>
      </w:r>
      <w:r>
        <w:rPr>
          <w:rFonts w:ascii="仿宋" w:hAnsi="仿宋" w:eastAsia="仿宋" w:cs="仿宋"/>
          <w:b/>
          <w:bCs/>
          <w:sz w:val="24"/>
          <w:szCs w:val="24"/>
        </w:rPr>
        <w:t>5</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5"/>
        <w:tabs>
          <w:tab w:val="right" w:leader="dot" w:pos="8306"/>
        </w:tabs>
        <w:spacing w:line="500" w:lineRule="exact"/>
        <w:ind w:left="880"/>
        <w:rPr>
          <w:rFonts w:ascii="仿宋" w:hAnsi="仿宋" w:eastAsia="仿宋" w:cs="仿宋"/>
          <w:b/>
          <w:bCs/>
          <w:sz w:val="24"/>
          <w:szCs w:val="24"/>
        </w:rPr>
      </w:pPr>
      <w:r>
        <w:fldChar w:fldCharType="begin"/>
      </w:r>
      <w:r>
        <w:instrText xml:space="preserve"> HYPERLINK \l "_Toc1853" </w:instrText>
      </w:r>
      <w:r>
        <w:fldChar w:fldCharType="separate"/>
      </w:r>
      <w:r>
        <w:rPr>
          <w:rFonts w:hint="eastAsia" w:ascii="仿宋" w:hAnsi="仿宋" w:eastAsia="仿宋" w:cs="仿宋"/>
          <w:b/>
          <w:bCs/>
          <w:sz w:val="24"/>
          <w:szCs w:val="24"/>
        </w:rPr>
        <w:t>3.“三公经费”支出使用和管理情况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_Toc1853 </w:instrText>
      </w:r>
      <w:r>
        <w:rPr>
          <w:rFonts w:hint="eastAsia" w:ascii="仿宋" w:hAnsi="仿宋" w:eastAsia="仿宋" w:cs="仿宋"/>
          <w:b/>
          <w:bCs/>
          <w:sz w:val="24"/>
          <w:szCs w:val="24"/>
        </w:rPr>
        <w:fldChar w:fldCharType="separate"/>
      </w:r>
      <w:r>
        <w:rPr>
          <w:rFonts w:ascii="仿宋" w:hAnsi="仿宋" w:eastAsia="仿宋" w:cs="仿宋"/>
          <w:b/>
          <w:bCs/>
          <w:sz w:val="24"/>
          <w:szCs w:val="24"/>
        </w:rPr>
        <w:t>6</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0"/>
        <w:tabs>
          <w:tab w:val="right" w:leader="dot" w:pos="8306"/>
        </w:tabs>
        <w:spacing w:line="500" w:lineRule="exact"/>
        <w:ind w:left="440"/>
        <w:rPr>
          <w:rFonts w:ascii="仿宋" w:hAnsi="仿宋" w:eastAsia="仿宋" w:cs="仿宋"/>
          <w:b/>
          <w:bCs/>
          <w:sz w:val="24"/>
          <w:szCs w:val="24"/>
        </w:rPr>
      </w:pPr>
      <w:r>
        <w:fldChar w:fldCharType="begin"/>
      </w:r>
      <w:r>
        <w:instrText xml:space="preserve"> HYPERLINK \l "_Toc295" </w:instrText>
      </w:r>
      <w:r>
        <w:fldChar w:fldCharType="separate"/>
      </w:r>
      <w:r>
        <w:rPr>
          <w:rFonts w:hint="eastAsia" w:ascii="仿宋" w:hAnsi="仿宋" w:eastAsia="仿宋" w:cs="仿宋"/>
          <w:b/>
          <w:bCs/>
          <w:sz w:val="24"/>
          <w:szCs w:val="24"/>
        </w:rPr>
        <w:t>(三）项目支出管理情况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_Toc295 </w:instrText>
      </w:r>
      <w:r>
        <w:rPr>
          <w:rFonts w:hint="eastAsia" w:ascii="仿宋" w:hAnsi="仿宋" w:eastAsia="仿宋" w:cs="仿宋"/>
          <w:b/>
          <w:bCs/>
          <w:sz w:val="24"/>
          <w:szCs w:val="24"/>
        </w:rPr>
        <w:fldChar w:fldCharType="separate"/>
      </w:r>
      <w:r>
        <w:rPr>
          <w:rFonts w:ascii="仿宋" w:hAnsi="仿宋" w:eastAsia="仿宋" w:cs="仿宋"/>
          <w:b/>
          <w:bCs/>
          <w:sz w:val="24"/>
          <w:szCs w:val="24"/>
        </w:rPr>
        <w:t>6</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5"/>
        <w:tabs>
          <w:tab w:val="right" w:leader="dot" w:pos="8306"/>
        </w:tabs>
        <w:spacing w:line="500" w:lineRule="exact"/>
        <w:ind w:left="880"/>
        <w:rPr>
          <w:rFonts w:ascii="仿宋" w:hAnsi="仿宋" w:eastAsia="仿宋" w:cs="仿宋"/>
          <w:b/>
          <w:bCs/>
          <w:sz w:val="24"/>
          <w:szCs w:val="24"/>
        </w:rPr>
      </w:pPr>
      <w:r>
        <w:fldChar w:fldCharType="begin"/>
      </w:r>
      <w:r>
        <w:instrText xml:space="preserve"> HYPERLINK \l "_Toc26793" </w:instrText>
      </w:r>
      <w:r>
        <w:fldChar w:fldCharType="separate"/>
      </w:r>
      <w:r>
        <w:rPr>
          <w:rFonts w:hint="eastAsia" w:ascii="仿宋" w:hAnsi="仿宋" w:eastAsia="仿宋" w:cs="仿宋"/>
          <w:b/>
          <w:bCs/>
          <w:sz w:val="24"/>
          <w:szCs w:val="24"/>
          <w:shd w:val="clear" w:color="auto" w:fill="FFFFFF"/>
        </w:rPr>
        <w:t>1.项目资金总投入等情况分析</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_Toc26793 </w:instrText>
      </w:r>
      <w:r>
        <w:rPr>
          <w:rFonts w:hint="eastAsia" w:ascii="仿宋" w:hAnsi="仿宋" w:eastAsia="仿宋" w:cs="仿宋"/>
          <w:b/>
          <w:bCs/>
          <w:sz w:val="24"/>
          <w:szCs w:val="24"/>
        </w:rPr>
        <w:fldChar w:fldCharType="separate"/>
      </w:r>
      <w:r>
        <w:rPr>
          <w:rFonts w:ascii="仿宋" w:hAnsi="仿宋" w:eastAsia="仿宋" w:cs="仿宋"/>
          <w:b/>
          <w:bCs/>
          <w:sz w:val="24"/>
          <w:szCs w:val="24"/>
        </w:rPr>
        <w:t>6</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5"/>
        <w:tabs>
          <w:tab w:val="right" w:leader="dot" w:pos="8306"/>
        </w:tabs>
        <w:spacing w:line="500" w:lineRule="exact"/>
        <w:ind w:left="880"/>
        <w:rPr>
          <w:rFonts w:ascii="仿宋" w:hAnsi="仿宋" w:eastAsia="仿宋" w:cs="仿宋"/>
          <w:b/>
          <w:bCs/>
          <w:sz w:val="24"/>
          <w:szCs w:val="24"/>
        </w:rPr>
      </w:pPr>
      <w:r>
        <w:fldChar w:fldCharType="begin"/>
      </w:r>
      <w:r>
        <w:instrText xml:space="preserve"> HYPERLINK \l "_Toc5582" </w:instrText>
      </w:r>
      <w:r>
        <w:fldChar w:fldCharType="separate"/>
      </w:r>
      <w:r>
        <w:rPr>
          <w:rFonts w:hint="eastAsia" w:ascii="仿宋" w:hAnsi="仿宋" w:eastAsia="仿宋" w:cs="仿宋"/>
          <w:b/>
          <w:bCs/>
          <w:sz w:val="24"/>
          <w:szCs w:val="24"/>
          <w:shd w:val="clear" w:color="auto" w:fill="FFFFFF"/>
        </w:rPr>
        <w:t>2.本年项目资金实际使用情况分析</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_Toc5582 </w:instrText>
      </w:r>
      <w:r>
        <w:rPr>
          <w:rFonts w:hint="eastAsia" w:ascii="仿宋" w:hAnsi="仿宋" w:eastAsia="仿宋" w:cs="仿宋"/>
          <w:b/>
          <w:bCs/>
          <w:sz w:val="24"/>
          <w:szCs w:val="24"/>
        </w:rPr>
        <w:fldChar w:fldCharType="separate"/>
      </w:r>
      <w:r>
        <w:rPr>
          <w:rFonts w:ascii="仿宋" w:hAnsi="仿宋" w:eastAsia="仿宋" w:cs="仿宋"/>
          <w:b/>
          <w:bCs/>
          <w:sz w:val="24"/>
          <w:szCs w:val="24"/>
        </w:rPr>
        <w:t>6</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5"/>
        <w:tabs>
          <w:tab w:val="right" w:leader="dot" w:pos="8306"/>
        </w:tabs>
        <w:spacing w:line="500" w:lineRule="exact"/>
        <w:ind w:left="880"/>
        <w:rPr>
          <w:rFonts w:ascii="仿宋" w:hAnsi="仿宋" w:eastAsia="仿宋" w:cs="仿宋"/>
          <w:b/>
          <w:bCs/>
          <w:sz w:val="24"/>
          <w:szCs w:val="24"/>
        </w:rPr>
      </w:pPr>
      <w:r>
        <w:fldChar w:fldCharType="begin"/>
      </w:r>
      <w:r>
        <w:instrText xml:space="preserve"> HYPERLINK \l "_Toc30995" </w:instrText>
      </w:r>
      <w:r>
        <w:fldChar w:fldCharType="separate"/>
      </w:r>
      <w:r>
        <w:rPr>
          <w:rFonts w:hint="eastAsia" w:ascii="仿宋" w:hAnsi="仿宋" w:eastAsia="仿宋" w:cs="仿宋"/>
          <w:b/>
          <w:bCs/>
          <w:sz w:val="24"/>
          <w:szCs w:val="24"/>
          <w:shd w:val="clear" w:color="auto" w:fill="FFFFFF"/>
        </w:rPr>
        <w:t>3.项目资金管理情况分析</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_Toc30995 </w:instrText>
      </w:r>
      <w:r>
        <w:rPr>
          <w:rFonts w:hint="eastAsia" w:ascii="仿宋" w:hAnsi="仿宋" w:eastAsia="仿宋" w:cs="仿宋"/>
          <w:b/>
          <w:bCs/>
          <w:sz w:val="24"/>
          <w:szCs w:val="24"/>
        </w:rPr>
        <w:fldChar w:fldCharType="separate"/>
      </w:r>
      <w:r>
        <w:rPr>
          <w:rFonts w:ascii="仿宋" w:hAnsi="仿宋" w:eastAsia="仿宋" w:cs="仿宋"/>
          <w:b/>
          <w:bCs/>
          <w:sz w:val="24"/>
          <w:szCs w:val="24"/>
        </w:rPr>
        <w:t>9</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9"/>
        <w:tabs>
          <w:tab w:val="right" w:leader="dot" w:pos="8306"/>
        </w:tabs>
        <w:spacing w:line="500" w:lineRule="exact"/>
        <w:rPr>
          <w:rFonts w:ascii="仿宋" w:hAnsi="仿宋" w:eastAsia="仿宋" w:cs="仿宋"/>
          <w:b/>
          <w:bCs/>
          <w:sz w:val="24"/>
          <w:szCs w:val="24"/>
        </w:rPr>
      </w:pPr>
      <w:r>
        <w:fldChar w:fldCharType="begin"/>
      </w:r>
      <w:r>
        <w:instrText xml:space="preserve"> HYPERLINK \l "_Toc3611" </w:instrText>
      </w:r>
      <w:r>
        <w:fldChar w:fldCharType="separate"/>
      </w:r>
      <w:r>
        <w:rPr>
          <w:rFonts w:hint="eastAsia" w:ascii="仿宋" w:hAnsi="仿宋" w:eastAsia="仿宋" w:cs="仿宋"/>
          <w:b/>
          <w:bCs/>
          <w:sz w:val="24"/>
          <w:szCs w:val="24"/>
        </w:rPr>
        <w:t>三 资产管理情况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_Toc3611 </w:instrText>
      </w:r>
      <w:r>
        <w:rPr>
          <w:rFonts w:hint="eastAsia" w:ascii="仿宋" w:hAnsi="仿宋" w:eastAsia="仿宋" w:cs="仿宋"/>
          <w:b/>
          <w:bCs/>
          <w:sz w:val="24"/>
          <w:szCs w:val="24"/>
        </w:rPr>
        <w:fldChar w:fldCharType="separate"/>
      </w:r>
      <w:r>
        <w:rPr>
          <w:rFonts w:ascii="仿宋" w:hAnsi="仿宋" w:eastAsia="仿宋" w:cs="仿宋"/>
          <w:b/>
          <w:bCs/>
          <w:sz w:val="24"/>
          <w:szCs w:val="24"/>
        </w:rPr>
        <w:t>10</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9"/>
        <w:tabs>
          <w:tab w:val="right" w:leader="dot" w:pos="8306"/>
        </w:tabs>
        <w:spacing w:line="500" w:lineRule="exact"/>
        <w:rPr>
          <w:rFonts w:ascii="仿宋" w:hAnsi="仿宋" w:eastAsia="仿宋" w:cs="仿宋"/>
          <w:b/>
          <w:bCs/>
          <w:sz w:val="24"/>
          <w:szCs w:val="24"/>
        </w:rPr>
      </w:pPr>
      <w:r>
        <w:fldChar w:fldCharType="begin"/>
      </w:r>
      <w:r>
        <w:instrText xml:space="preserve"> HYPERLINK \l "_Toc21932" </w:instrText>
      </w:r>
      <w:r>
        <w:fldChar w:fldCharType="separate"/>
      </w:r>
      <w:r>
        <w:rPr>
          <w:rFonts w:hint="eastAsia" w:ascii="仿宋" w:hAnsi="仿宋" w:eastAsia="仿宋" w:cs="仿宋"/>
          <w:b/>
          <w:bCs/>
          <w:sz w:val="24"/>
          <w:szCs w:val="24"/>
        </w:rPr>
        <w:t>四 部门整体支出绩效目标及开展情况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_Toc21932 </w:instrText>
      </w:r>
      <w:r>
        <w:rPr>
          <w:rFonts w:hint="eastAsia" w:ascii="仿宋" w:hAnsi="仿宋" w:eastAsia="仿宋" w:cs="仿宋"/>
          <w:b/>
          <w:bCs/>
          <w:sz w:val="24"/>
          <w:szCs w:val="24"/>
        </w:rPr>
        <w:fldChar w:fldCharType="separate"/>
      </w:r>
      <w:r>
        <w:rPr>
          <w:rFonts w:ascii="仿宋" w:hAnsi="仿宋" w:eastAsia="仿宋" w:cs="仿宋"/>
          <w:b/>
          <w:bCs/>
          <w:sz w:val="24"/>
          <w:szCs w:val="24"/>
        </w:rPr>
        <w:t>10</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9"/>
        <w:tabs>
          <w:tab w:val="right" w:leader="dot" w:pos="8306"/>
        </w:tabs>
        <w:spacing w:line="500" w:lineRule="exact"/>
        <w:rPr>
          <w:rFonts w:ascii="仿宋" w:hAnsi="仿宋" w:eastAsia="仿宋" w:cs="仿宋"/>
          <w:b/>
          <w:bCs/>
          <w:sz w:val="24"/>
          <w:szCs w:val="24"/>
        </w:rPr>
      </w:pPr>
      <w:r>
        <w:fldChar w:fldCharType="begin"/>
      </w:r>
      <w:r>
        <w:instrText xml:space="preserve"> HYPERLINK \l "_Toc24936" </w:instrText>
      </w:r>
      <w:r>
        <w:fldChar w:fldCharType="separate"/>
      </w:r>
      <w:r>
        <w:rPr>
          <w:rFonts w:hint="eastAsia" w:ascii="仿宋" w:hAnsi="仿宋" w:eastAsia="仿宋" w:cs="仿宋"/>
          <w:b/>
          <w:bCs/>
          <w:sz w:val="24"/>
          <w:szCs w:val="24"/>
        </w:rPr>
        <w:t>五 部门整体支出绩效目标实现情况</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_Toc24936 </w:instrText>
      </w:r>
      <w:r>
        <w:rPr>
          <w:rFonts w:hint="eastAsia" w:ascii="仿宋" w:hAnsi="仿宋" w:eastAsia="仿宋" w:cs="仿宋"/>
          <w:b/>
          <w:bCs/>
          <w:sz w:val="24"/>
          <w:szCs w:val="24"/>
        </w:rPr>
        <w:fldChar w:fldCharType="separate"/>
      </w:r>
      <w:r>
        <w:rPr>
          <w:rFonts w:ascii="仿宋" w:hAnsi="仿宋" w:eastAsia="仿宋" w:cs="仿宋"/>
          <w:b/>
          <w:bCs/>
          <w:sz w:val="24"/>
          <w:szCs w:val="24"/>
        </w:rPr>
        <w:t>11</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9"/>
        <w:tabs>
          <w:tab w:val="right" w:leader="dot" w:pos="8306"/>
        </w:tabs>
        <w:spacing w:line="500" w:lineRule="exact"/>
        <w:rPr>
          <w:rFonts w:ascii="仿宋" w:hAnsi="仿宋" w:eastAsia="仿宋" w:cs="仿宋"/>
          <w:b/>
          <w:bCs/>
          <w:sz w:val="24"/>
          <w:szCs w:val="24"/>
        </w:rPr>
      </w:pPr>
      <w:r>
        <w:fldChar w:fldCharType="begin"/>
      </w:r>
      <w:r>
        <w:instrText xml:space="preserve"> HYPERLINK \l "_Toc29590" </w:instrText>
      </w:r>
      <w:r>
        <w:fldChar w:fldCharType="separate"/>
      </w:r>
      <w:r>
        <w:rPr>
          <w:rFonts w:hint="eastAsia" w:ascii="仿宋" w:hAnsi="仿宋" w:eastAsia="仿宋" w:cs="仿宋"/>
          <w:b/>
          <w:bCs/>
          <w:sz w:val="24"/>
          <w:szCs w:val="24"/>
        </w:rPr>
        <w:t>六 部门整体支出绩效中存在问题及改进措施</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_Toc29590 </w:instrText>
      </w:r>
      <w:r>
        <w:rPr>
          <w:rFonts w:hint="eastAsia" w:ascii="仿宋" w:hAnsi="仿宋" w:eastAsia="仿宋" w:cs="仿宋"/>
          <w:b/>
          <w:bCs/>
          <w:sz w:val="24"/>
          <w:szCs w:val="24"/>
        </w:rPr>
        <w:fldChar w:fldCharType="separate"/>
      </w:r>
      <w:r>
        <w:rPr>
          <w:rFonts w:ascii="仿宋" w:hAnsi="仿宋" w:eastAsia="仿宋" w:cs="仿宋"/>
          <w:b/>
          <w:bCs/>
          <w:sz w:val="24"/>
          <w:szCs w:val="24"/>
        </w:rPr>
        <w:t>14</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0"/>
        <w:tabs>
          <w:tab w:val="right" w:leader="dot" w:pos="8306"/>
        </w:tabs>
        <w:spacing w:line="500" w:lineRule="exact"/>
        <w:ind w:left="440"/>
        <w:rPr>
          <w:rFonts w:ascii="仿宋" w:hAnsi="仿宋" w:eastAsia="仿宋" w:cs="仿宋"/>
          <w:b/>
          <w:bCs/>
          <w:sz w:val="24"/>
          <w:szCs w:val="24"/>
        </w:rPr>
      </w:pPr>
      <w:r>
        <w:fldChar w:fldCharType="begin"/>
      </w:r>
      <w:r>
        <w:instrText xml:space="preserve"> HYPERLINK \l "_Toc18136" </w:instrText>
      </w:r>
      <w:r>
        <w:fldChar w:fldCharType="separate"/>
      </w:r>
      <w:r>
        <w:rPr>
          <w:rFonts w:hint="eastAsia" w:ascii="仿宋" w:hAnsi="仿宋" w:eastAsia="仿宋" w:cs="仿宋"/>
          <w:b/>
          <w:bCs/>
          <w:sz w:val="24"/>
          <w:szCs w:val="24"/>
        </w:rPr>
        <w:t>（一）存在的问题</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_Toc18136 </w:instrText>
      </w:r>
      <w:r>
        <w:rPr>
          <w:rFonts w:hint="eastAsia" w:ascii="仿宋" w:hAnsi="仿宋" w:eastAsia="仿宋" w:cs="仿宋"/>
          <w:b/>
          <w:bCs/>
          <w:sz w:val="24"/>
          <w:szCs w:val="24"/>
        </w:rPr>
        <w:fldChar w:fldCharType="separate"/>
      </w:r>
      <w:r>
        <w:rPr>
          <w:rFonts w:ascii="仿宋" w:hAnsi="仿宋" w:eastAsia="仿宋" w:cs="仿宋"/>
          <w:b/>
          <w:bCs/>
          <w:sz w:val="24"/>
          <w:szCs w:val="24"/>
        </w:rPr>
        <w:t>14</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10"/>
        <w:tabs>
          <w:tab w:val="right" w:leader="dot" w:pos="8306"/>
        </w:tabs>
        <w:spacing w:line="500" w:lineRule="exact"/>
        <w:ind w:left="440"/>
        <w:rPr>
          <w:rFonts w:ascii="仿宋" w:hAnsi="仿宋" w:eastAsia="仿宋" w:cs="仿宋"/>
          <w:b/>
          <w:bCs/>
          <w:sz w:val="24"/>
          <w:szCs w:val="24"/>
        </w:rPr>
      </w:pPr>
      <w:r>
        <w:fldChar w:fldCharType="begin"/>
      </w:r>
      <w:r>
        <w:instrText xml:space="preserve"> HYPERLINK \l "_Toc29153" </w:instrText>
      </w:r>
      <w:r>
        <w:fldChar w:fldCharType="separate"/>
      </w:r>
      <w:r>
        <w:rPr>
          <w:rFonts w:hint="eastAsia" w:ascii="仿宋" w:hAnsi="仿宋" w:eastAsia="仿宋" w:cs="仿宋"/>
          <w:b/>
          <w:bCs/>
          <w:sz w:val="24"/>
          <w:szCs w:val="24"/>
        </w:rPr>
        <w:t>（二）改进措施和有关建议</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_Toc29153 </w:instrText>
      </w:r>
      <w:r>
        <w:rPr>
          <w:rFonts w:hint="eastAsia" w:ascii="仿宋" w:hAnsi="仿宋" w:eastAsia="仿宋" w:cs="仿宋"/>
          <w:b/>
          <w:bCs/>
          <w:sz w:val="24"/>
          <w:szCs w:val="24"/>
        </w:rPr>
        <w:fldChar w:fldCharType="separate"/>
      </w:r>
      <w:r>
        <w:rPr>
          <w:rFonts w:ascii="仿宋" w:hAnsi="仿宋" w:eastAsia="仿宋" w:cs="仿宋"/>
          <w:b/>
          <w:bCs/>
          <w:sz w:val="24"/>
          <w:szCs w:val="24"/>
        </w:rPr>
        <w:t>14</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pStyle w:val="9"/>
        <w:tabs>
          <w:tab w:val="right" w:leader="dot" w:pos="8306"/>
        </w:tabs>
        <w:spacing w:line="500" w:lineRule="exact"/>
        <w:rPr>
          <w:rFonts w:ascii="仿宋" w:hAnsi="仿宋" w:eastAsia="仿宋" w:cs="仿宋"/>
          <w:sz w:val="24"/>
          <w:szCs w:val="24"/>
        </w:rPr>
      </w:pPr>
      <w:r>
        <w:fldChar w:fldCharType="begin"/>
      </w:r>
      <w:r>
        <w:instrText xml:space="preserve"> HYPERLINK \l "_Toc31688" </w:instrText>
      </w:r>
      <w:r>
        <w:fldChar w:fldCharType="separate"/>
      </w:r>
      <w:r>
        <w:rPr>
          <w:rFonts w:hint="eastAsia" w:ascii="仿宋" w:hAnsi="仿宋" w:eastAsia="仿宋" w:cs="仿宋"/>
          <w:b/>
          <w:bCs/>
          <w:kern w:val="0"/>
          <w:sz w:val="24"/>
          <w:szCs w:val="24"/>
          <w:lang w:val="zh-CN" w:bidi="zh-CN"/>
        </w:rPr>
        <w:t>2019年度部门整体支出绩效自评表</w:t>
      </w:r>
      <w:r>
        <w:rPr>
          <w:rFonts w:hint="eastAsia" w:ascii="仿宋" w:hAnsi="仿宋" w:eastAsia="仿宋" w:cs="仿宋"/>
          <w:b/>
          <w:bCs/>
          <w:sz w:val="24"/>
          <w:szCs w:val="24"/>
        </w:rPr>
        <w:tab/>
      </w: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PAGEREF _Toc31688 </w:instrText>
      </w:r>
      <w:r>
        <w:rPr>
          <w:rFonts w:hint="eastAsia" w:ascii="仿宋" w:hAnsi="仿宋" w:eastAsia="仿宋" w:cs="仿宋"/>
          <w:b/>
          <w:bCs/>
          <w:sz w:val="24"/>
          <w:szCs w:val="24"/>
        </w:rPr>
        <w:fldChar w:fldCharType="separate"/>
      </w:r>
      <w:r>
        <w:rPr>
          <w:rFonts w:ascii="仿宋" w:hAnsi="仿宋" w:eastAsia="仿宋" w:cs="仿宋"/>
          <w:b/>
          <w:bCs/>
          <w:sz w:val="24"/>
          <w:szCs w:val="24"/>
        </w:rPr>
        <w:t>16</w:t>
      </w:r>
      <w:r>
        <w:rPr>
          <w:rFonts w:hint="eastAsia" w:ascii="仿宋" w:hAnsi="仿宋" w:eastAsia="仿宋" w:cs="仿宋"/>
          <w:b/>
          <w:bCs/>
          <w:sz w:val="24"/>
          <w:szCs w:val="24"/>
        </w:rPr>
        <w:fldChar w:fldCharType="end"/>
      </w:r>
      <w:r>
        <w:rPr>
          <w:rFonts w:hint="eastAsia" w:ascii="仿宋" w:hAnsi="仿宋" w:eastAsia="仿宋" w:cs="仿宋"/>
          <w:b/>
          <w:bCs/>
          <w:sz w:val="24"/>
          <w:szCs w:val="24"/>
        </w:rPr>
        <w:fldChar w:fldCharType="end"/>
      </w:r>
    </w:p>
    <w:p>
      <w:pPr>
        <w:spacing w:line="600" w:lineRule="exact"/>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fldChar w:fldCharType="end"/>
      </w:r>
    </w:p>
    <w:p>
      <w:pPr>
        <w:jc w:val="center"/>
        <w:rPr>
          <w:rFonts w:ascii="宋体" w:cs="宋体"/>
          <w:b/>
          <w:color w:val="000000" w:themeColor="text1"/>
          <w:sz w:val="52"/>
          <w:szCs w:val="52"/>
        </w:rPr>
      </w:pPr>
    </w:p>
    <w:p>
      <w:pPr>
        <w:jc w:val="both"/>
        <w:rPr>
          <w:rFonts w:ascii="宋体" w:cs="宋体"/>
          <w:b/>
          <w:color w:val="000000" w:themeColor="text1"/>
          <w:sz w:val="52"/>
          <w:szCs w:val="52"/>
        </w:rPr>
      </w:pPr>
    </w:p>
    <w:p>
      <w:pPr>
        <w:spacing w:after="0" w:line="600" w:lineRule="exact"/>
        <w:jc w:val="center"/>
        <w:rPr>
          <w:rFonts w:ascii="仿宋" w:hAnsi="仿宋" w:eastAsia="仿宋" w:cs="仿宋"/>
          <w:b/>
          <w:bCs/>
          <w:color w:val="000000" w:themeColor="text1"/>
          <w:sz w:val="44"/>
          <w:szCs w:val="44"/>
        </w:rPr>
      </w:pPr>
      <w:r>
        <w:rPr>
          <w:rFonts w:hint="eastAsia" w:ascii="方正小标宋简体" w:hAnsi="方正小标宋简体" w:eastAsia="方正小标宋简体" w:cs="方正小标宋简体"/>
          <w:color w:val="000000" w:themeColor="text1"/>
          <w:sz w:val="44"/>
          <w:szCs w:val="44"/>
        </w:rPr>
        <w:t>部门整体支出绩效报告</w:t>
      </w:r>
    </w:p>
    <w:p>
      <w:pPr>
        <w:spacing w:after="0" w:line="600" w:lineRule="exact"/>
        <w:ind w:firstLine="640" w:firstLineChars="200"/>
        <w:rPr>
          <w:rFonts w:ascii="仿宋_GB2312" w:hAnsi="仿宋_GB2312" w:eastAsia="仿宋_GB2312" w:cs="仿宋_GB2312"/>
          <w:color w:val="000000" w:themeColor="text1"/>
          <w:kern w:val="2"/>
          <w:sz w:val="32"/>
          <w:szCs w:val="32"/>
        </w:rPr>
      </w:pPr>
    </w:p>
    <w:p>
      <w:pPr>
        <w:spacing w:after="0" w:line="60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kern w:val="2"/>
          <w:sz w:val="32"/>
          <w:szCs w:val="32"/>
        </w:rPr>
        <w:t>为加强财政支出管理，强化项目单位责任意识，进一步完善专项资金管理，提高财政资金使用效益，根据财政部《中共中央国务院关于全面实施预算绩效管理的意见》（中发〔2018〕34号）、《中共湖南省委办公厅 湖南省人民政府办公厅全面实施预算绩效管理的实施意见》（湘办发〔2019〕10号）、长沙市财政局《关于开展 2020年市直单位绩效自评工作的通知》（长财绩〔2020〕1号）以及《长沙市望城区财政局关于开展2019年度区级财政预算绩效自评工作的通知》（望财绩〔2020〕5号）等文件要求长沙市望城区市政设施维护中心(以下简称“本单位”)根据长沙市财政预算支出绩效评价的有关规定，对2019年整体支出进行了绩效评价，形成本评价报告。</w:t>
      </w:r>
    </w:p>
    <w:p>
      <w:pPr>
        <w:pStyle w:val="2"/>
        <w:spacing w:before="0" w:after="0" w:line="600" w:lineRule="exact"/>
        <w:ind w:firstLine="640" w:firstLineChars="200"/>
        <w:rPr>
          <w:rFonts w:ascii="黑体" w:hAnsi="黑体" w:eastAsia="黑体" w:cs="黑体"/>
          <w:b w:val="0"/>
          <w:bCs w:val="0"/>
          <w:color w:val="000000" w:themeColor="text1"/>
          <w:sz w:val="32"/>
          <w:szCs w:val="32"/>
        </w:rPr>
      </w:pPr>
      <w:bookmarkStart w:id="0" w:name="_Toc30453"/>
      <w:r>
        <w:rPr>
          <w:rFonts w:hint="eastAsia" w:ascii="黑体" w:hAnsi="黑体" w:eastAsia="黑体" w:cs="黑体"/>
          <w:b w:val="0"/>
          <w:bCs w:val="0"/>
          <w:color w:val="000000" w:themeColor="text1"/>
          <w:sz w:val="32"/>
          <w:szCs w:val="32"/>
        </w:rPr>
        <w:t>一、部门概况</w:t>
      </w:r>
      <w:bookmarkEnd w:id="0"/>
    </w:p>
    <w:p>
      <w:pPr>
        <w:pStyle w:val="17"/>
        <w:spacing w:after="0" w:line="600" w:lineRule="exact"/>
        <w:ind w:firstLine="640"/>
        <w:rPr>
          <w:rFonts w:ascii="楷体_GB2312" w:hAnsi="楷体_GB2312" w:eastAsia="楷体_GB2312" w:cs="楷体_GB2312"/>
          <w:color w:val="000000" w:themeColor="text1"/>
          <w:kern w:val="2"/>
          <w:sz w:val="32"/>
          <w:szCs w:val="32"/>
        </w:rPr>
      </w:pPr>
      <w:r>
        <w:rPr>
          <w:rFonts w:hint="eastAsia" w:ascii="楷体_GB2312" w:hAnsi="楷体_GB2312" w:eastAsia="楷体_GB2312" w:cs="楷体_GB2312"/>
          <w:color w:val="000000" w:themeColor="text1"/>
          <w:kern w:val="2"/>
          <w:sz w:val="32"/>
          <w:szCs w:val="32"/>
        </w:rPr>
        <w:t>(一）主要职责职能</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负责城区范围内所有市政设施的建设、维护和管理。道路设施：车行道、人行道、桥梁、广场、路沿石、停车场、花坛、洗车场点、交通隔离设施；排水设施：包括排（雨、污）水井盖、井框、井圈、井座及泄水桥等附属设施；对信号指示灯、电力、电信、广电、燃气等市政设施进行监管。负责审核由取得市政工程设计、施工合格的单位承担的市政工程设施建设项目的设计、施工、发给施工许可证。负责审批新建、扩建、改建项目，需要增加市政工程设施容量的内容。负责临时占用、挖掘城市道路（包括基建占道和经营占道）的审批，审批同意后发给其相应许可证。</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负责监督处理临街道基建工地围档作业、破道恢复、人行道车辆停靠等事宜。负责搞好市政公用设施的维修和保养，并遵循统一规划、统筹安排、合理布局、综合配套，建设维护管理并重的原则。负责区委、政府及主管部门交界的其他事项。</w:t>
      </w:r>
    </w:p>
    <w:p>
      <w:pPr>
        <w:pStyle w:val="17"/>
        <w:spacing w:after="0" w:line="600" w:lineRule="exact"/>
        <w:ind w:firstLine="640"/>
        <w:rPr>
          <w:rFonts w:ascii="楷体_GB2312" w:hAnsi="楷体_GB2312" w:eastAsia="楷体_GB2312" w:cs="楷体_GB2312"/>
          <w:color w:val="000000" w:themeColor="text1"/>
          <w:kern w:val="2"/>
          <w:sz w:val="32"/>
          <w:szCs w:val="32"/>
        </w:rPr>
      </w:pPr>
      <w:r>
        <w:rPr>
          <w:rFonts w:hint="eastAsia" w:ascii="楷体_GB2312" w:hAnsi="楷体_GB2312" w:eastAsia="楷体_GB2312" w:cs="楷体_GB2312"/>
          <w:color w:val="000000" w:themeColor="text1"/>
          <w:kern w:val="2"/>
          <w:sz w:val="32"/>
          <w:szCs w:val="32"/>
        </w:rPr>
        <w:t>（二）机构设置情况</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望城区市政设施维护中心为正科级差额拨款事业单位，根据相关职责，内设五个科室，包括办公室、财务后勤科、督查勘核科、设施维护科、工程建设科。</w:t>
      </w:r>
    </w:p>
    <w:p>
      <w:pPr>
        <w:pStyle w:val="17"/>
        <w:spacing w:after="0" w:line="600" w:lineRule="exact"/>
        <w:ind w:firstLine="640"/>
        <w:rPr>
          <w:rFonts w:ascii="楷体_GB2312" w:hAnsi="楷体_GB2312" w:eastAsia="楷体_GB2312" w:cs="楷体_GB2312"/>
          <w:color w:val="000000" w:themeColor="text1"/>
          <w:kern w:val="2"/>
          <w:sz w:val="32"/>
          <w:szCs w:val="32"/>
        </w:rPr>
      </w:pPr>
      <w:r>
        <w:rPr>
          <w:rFonts w:hint="eastAsia" w:ascii="楷体_GB2312" w:hAnsi="楷体_GB2312" w:eastAsia="楷体_GB2312" w:cs="楷体_GB2312"/>
          <w:color w:val="000000" w:themeColor="text1"/>
          <w:kern w:val="2"/>
          <w:sz w:val="32"/>
          <w:szCs w:val="32"/>
        </w:rPr>
        <w:t>（三）人员概况</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市政设施维护中心2019年末编制人数21人，年末实有人数23人，在职超编2人。</w:t>
      </w:r>
    </w:p>
    <w:p>
      <w:pPr>
        <w:pStyle w:val="2"/>
        <w:spacing w:before="0" w:after="0" w:line="600" w:lineRule="exact"/>
        <w:ind w:firstLine="640" w:firstLineChars="200"/>
        <w:rPr>
          <w:rFonts w:ascii="黑体" w:hAnsi="黑体" w:eastAsia="黑体" w:cs="黑体"/>
          <w:b w:val="0"/>
          <w:bCs w:val="0"/>
          <w:color w:val="000000" w:themeColor="text1"/>
          <w:sz w:val="32"/>
          <w:szCs w:val="32"/>
        </w:rPr>
      </w:pPr>
      <w:bookmarkStart w:id="1" w:name="_Toc16493"/>
      <w:r>
        <w:rPr>
          <w:rFonts w:hint="eastAsia" w:ascii="黑体" w:hAnsi="黑体" w:eastAsia="黑体" w:cs="黑体"/>
          <w:b w:val="0"/>
          <w:bCs w:val="0"/>
          <w:color w:val="000000" w:themeColor="text1"/>
          <w:sz w:val="32"/>
          <w:szCs w:val="32"/>
        </w:rPr>
        <w:t>二、部门整体支出预算管理及执行情况</w:t>
      </w:r>
      <w:bookmarkEnd w:id="1"/>
    </w:p>
    <w:p>
      <w:pPr>
        <w:pStyle w:val="17"/>
        <w:spacing w:after="0" w:line="600" w:lineRule="exact"/>
        <w:ind w:firstLine="640"/>
        <w:rPr>
          <w:rFonts w:ascii="楷体_GB2312" w:hAnsi="楷体_GB2312" w:eastAsia="楷体_GB2312" w:cs="楷体_GB2312"/>
          <w:color w:val="000000" w:themeColor="text1"/>
          <w:kern w:val="2"/>
          <w:sz w:val="32"/>
          <w:szCs w:val="32"/>
        </w:rPr>
      </w:pPr>
      <w:bookmarkStart w:id="2" w:name="_Toc14894"/>
      <w:r>
        <w:rPr>
          <w:rFonts w:hint="eastAsia" w:ascii="楷体_GB2312" w:hAnsi="楷体_GB2312" w:eastAsia="楷体_GB2312" w:cs="楷体_GB2312"/>
          <w:color w:val="000000" w:themeColor="text1"/>
          <w:kern w:val="2"/>
          <w:sz w:val="32"/>
          <w:szCs w:val="32"/>
        </w:rPr>
        <w:t>（一）年度预算收支情况</w:t>
      </w:r>
      <w:bookmarkEnd w:id="2"/>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根据2019年部门预算批复，本单位收入预算690.80万元，全部为财政拨款，支出预算690.80万元，其中基本支出522.80万元，占支出预算总额的75.68%；项目支出168万元，占支出预算总额的24.32%。</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本单位可用财政资金690.80万元，其中：本年预算690.80万元，上年结余0.00万元。</w:t>
      </w:r>
    </w:p>
    <w:p>
      <w:pPr>
        <w:pStyle w:val="17"/>
        <w:spacing w:after="0" w:line="600" w:lineRule="exact"/>
        <w:ind w:firstLine="640"/>
        <w:rPr>
          <w:rFonts w:ascii="楷体_GB2312" w:hAnsi="楷体_GB2312" w:eastAsia="楷体_GB2312" w:cs="楷体_GB2312"/>
          <w:color w:val="000000" w:themeColor="text1"/>
          <w:kern w:val="2"/>
          <w:sz w:val="32"/>
          <w:szCs w:val="32"/>
        </w:rPr>
      </w:pPr>
      <w:bookmarkStart w:id="3" w:name="_Toc17246"/>
      <w:r>
        <w:rPr>
          <w:rFonts w:hint="eastAsia" w:ascii="楷体_GB2312" w:hAnsi="楷体_GB2312" w:eastAsia="楷体_GB2312" w:cs="楷体_GB2312"/>
          <w:color w:val="000000" w:themeColor="text1"/>
          <w:kern w:val="2"/>
          <w:sz w:val="32"/>
          <w:szCs w:val="32"/>
        </w:rPr>
        <w:t>（二）基本支出管理情况</w:t>
      </w:r>
      <w:bookmarkEnd w:id="3"/>
    </w:p>
    <w:p>
      <w:pPr>
        <w:pStyle w:val="4"/>
        <w:spacing w:before="0" w:after="0" w:line="600" w:lineRule="exact"/>
        <w:ind w:firstLine="643" w:firstLineChars="200"/>
        <w:rPr>
          <w:rFonts w:ascii="仿宋_GB2312" w:hAnsi="仿宋_GB2312" w:eastAsia="仿宋_GB2312" w:cs="仿宋_GB2312"/>
          <w:color w:val="000000" w:themeColor="text1"/>
        </w:rPr>
      </w:pPr>
      <w:bookmarkStart w:id="4" w:name="_Toc6563"/>
      <w:r>
        <w:rPr>
          <w:rFonts w:hint="eastAsia" w:ascii="仿宋_GB2312" w:hAnsi="仿宋_GB2312" w:eastAsia="仿宋_GB2312" w:cs="仿宋_GB2312"/>
          <w:color w:val="000000" w:themeColor="text1"/>
        </w:rPr>
        <w:t>1.基本支出本年使用情况</w:t>
      </w:r>
      <w:bookmarkEnd w:id="4"/>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本单位基本支出的范围和主要用途包括本单位的人员经费和日常公用经费。具体包括：工资福利支出、对个人和家庭的补助、商品和服务支出。基本支出实际支出555.69万元，其中：工资福利支出517.62万元，对个人和家庭的补助2.69万元，商品和服务支出35.38万元。</w:t>
      </w:r>
    </w:p>
    <w:p>
      <w:pPr>
        <w:pStyle w:val="4"/>
        <w:spacing w:before="0" w:after="0" w:line="600" w:lineRule="exact"/>
        <w:ind w:firstLine="643" w:firstLineChars="200"/>
        <w:rPr>
          <w:rFonts w:ascii="仿宋_GB2312" w:hAnsi="仿宋_GB2312" w:eastAsia="仿宋_GB2312" w:cs="仿宋_GB2312"/>
          <w:color w:val="000000" w:themeColor="text1"/>
        </w:rPr>
      </w:pPr>
      <w:bookmarkStart w:id="5" w:name="_Toc454"/>
      <w:r>
        <w:rPr>
          <w:rFonts w:hint="eastAsia" w:ascii="仿宋_GB2312" w:hAnsi="仿宋_GB2312" w:eastAsia="仿宋_GB2312" w:cs="仿宋_GB2312"/>
          <w:color w:val="000000" w:themeColor="text1"/>
        </w:rPr>
        <w:t>2.本年基本支出预算执行情况</w:t>
      </w:r>
      <w:bookmarkEnd w:id="5"/>
    </w:p>
    <w:p>
      <w:pPr>
        <w:spacing w:after="0" w:line="600" w:lineRule="exact"/>
        <w:rPr>
          <w:rFonts w:ascii="仿宋" w:hAnsi="仿宋" w:eastAsia="仿宋" w:cs="仿宋"/>
          <w:color w:val="000000" w:themeColor="text1"/>
        </w:rPr>
      </w:pPr>
      <w:r>
        <w:rPr>
          <w:rFonts w:hint="eastAsia" w:ascii="仿宋" w:hAnsi="仿宋" w:eastAsia="仿宋" w:cs="仿宋"/>
          <w:color w:val="000000" w:themeColor="text1"/>
        </w:rPr>
        <w:t xml:space="preserve">单位：万元  </w:t>
      </w:r>
    </w:p>
    <w:tbl>
      <w:tblPr>
        <w:tblStyle w:val="11"/>
        <w:tblW w:w="8388" w:type="dxa"/>
        <w:tblInd w:w="0" w:type="dxa"/>
        <w:tblLayout w:type="fixed"/>
        <w:tblCellMar>
          <w:top w:w="0" w:type="dxa"/>
          <w:left w:w="15" w:type="dxa"/>
          <w:bottom w:w="0" w:type="dxa"/>
          <w:right w:w="15" w:type="dxa"/>
        </w:tblCellMar>
      </w:tblPr>
      <w:tblGrid>
        <w:gridCol w:w="2973"/>
        <w:gridCol w:w="1724"/>
        <w:gridCol w:w="1748"/>
        <w:gridCol w:w="1943"/>
      </w:tblGrid>
      <w:tr>
        <w:tblPrEx>
          <w:tblCellMar>
            <w:top w:w="0" w:type="dxa"/>
            <w:left w:w="15" w:type="dxa"/>
            <w:bottom w:w="0" w:type="dxa"/>
            <w:right w:w="15" w:type="dxa"/>
          </w:tblCellMar>
        </w:tblPrEx>
        <w:trPr>
          <w:trHeight w:val="528" w:hRule="atLeast"/>
        </w:trPr>
        <w:tc>
          <w:tcPr>
            <w:tcW w:w="2973" w:type="dxa"/>
            <w:tcBorders>
              <w:top w:val="single" w:color="000000" w:sz="4" w:space="0"/>
              <w:left w:val="single" w:color="000000" w:sz="4" w:space="0"/>
              <w:bottom w:val="single" w:color="000000" w:sz="4" w:space="0"/>
            </w:tcBorders>
            <w:vAlign w:val="center"/>
          </w:tcPr>
          <w:p>
            <w:pPr>
              <w:spacing w:line="500" w:lineRule="exact"/>
              <w:jc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预算项目</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center"/>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预算可用指标</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center"/>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本年决算金额</w:t>
            </w:r>
          </w:p>
        </w:tc>
        <w:tc>
          <w:tcPr>
            <w:tcW w:w="1943"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center"/>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差额</w:t>
            </w:r>
          </w:p>
        </w:tc>
      </w:tr>
      <w:tr>
        <w:tblPrEx>
          <w:tblCellMar>
            <w:top w:w="0" w:type="dxa"/>
            <w:left w:w="15" w:type="dxa"/>
            <w:bottom w:w="0" w:type="dxa"/>
            <w:right w:w="15" w:type="dxa"/>
          </w:tblCellMar>
        </w:tblPrEx>
        <w:trPr>
          <w:trHeight w:val="390" w:hRule="atLeast"/>
        </w:trPr>
        <w:tc>
          <w:tcPr>
            <w:tcW w:w="2973" w:type="dxa"/>
            <w:tcBorders>
              <w:top w:val="single" w:color="000000" w:sz="4" w:space="0"/>
              <w:left w:val="single" w:color="000000" w:sz="4" w:space="0"/>
              <w:bottom w:val="single" w:color="000000" w:sz="4" w:space="0"/>
            </w:tcBorders>
            <w:vAlign w:val="center"/>
          </w:tcPr>
          <w:p>
            <w:pPr>
              <w:autoSpaceDN w:val="0"/>
              <w:spacing w:line="500" w:lineRule="exac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工资福利支出</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righ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470</w:t>
            </w:r>
            <w:r>
              <w:rPr>
                <w:rFonts w:hint="eastAsia" w:ascii="仿宋" w:hAnsi="仿宋" w:eastAsia="仿宋" w:cs="仿宋"/>
                <w:color w:val="000000" w:themeColor="text1"/>
                <w:sz w:val="32"/>
                <w:szCs w:val="32"/>
              </w:rPr>
              <w:t>.29</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righ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517</w:t>
            </w:r>
            <w:r>
              <w:rPr>
                <w:rFonts w:hint="eastAsia" w:ascii="仿宋" w:hAnsi="仿宋" w:eastAsia="仿宋" w:cs="仿宋"/>
                <w:color w:val="000000" w:themeColor="text1"/>
                <w:sz w:val="32"/>
                <w:szCs w:val="32"/>
              </w:rPr>
              <w:t>.62</w:t>
            </w:r>
          </w:p>
        </w:tc>
        <w:tc>
          <w:tcPr>
            <w:tcW w:w="1943" w:type="dxa"/>
            <w:tcBorders>
              <w:top w:val="single" w:color="000000" w:sz="4" w:space="0"/>
              <w:left w:val="single" w:color="000000" w:sz="4" w:space="0"/>
              <w:bottom w:val="single" w:color="000000" w:sz="4" w:space="0"/>
              <w:right w:val="single" w:color="000000" w:sz="4" w:space="0"/>
            </w:tcBorders>
            <w:vAlign w:val="center"/>
          </w:tcPr>
          <w:p>
            <w:pPr>
              <w:spacing w:line="500" w:lineRule="exact"/>
              <w:ind w:right="20"/>
              <w:jc w:val="right"/>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47</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28"/>
                <w:szCs w:val="28"/>
              </w:rPr>
              <w:t>33</w:t>
            </w:r>
          </w:p>
        </w:tc>
      </w:tr>
      <w:tr>
        <w:tblPrEx>
          <w:tblCellMar>
            <w:top w:w="0" w:type="dxa"/>
            <w:left w:w="15" w:type="dxa"/>
            <w:bottom w:w="0" w:type="dxa"/>
            <w:right w:w="15" w:type="dxa"/>
          </w:tblCellMar>
        </w:tblPrEx>
        <w:trPr>
          <w:trHeight w:val="390" w:hRule="atLeast"/>
        </w:trPr>
        <w:tc>
          <w:tcPr>
            <w:tcW w:w="2973" w:type="dxa"/>
            <w:tcBorders>
              <w:top w:val="single" w:color="000000" w:sz="4" w:space="0"/>
              <w:left w:val="single" w:color="000000" w:sz="4" w:space="0"/>
              <w:bottom w:val="single" w:color="000000" w:sz="4" w:space="0"/>
            </w:tcBorders>
            <w:vAlign w:val="center"/>
          </w:tcPr>
          <w:p>
            <w:pPr>
              <w:autoSpaceDN w:val="0"/>
              <w:spacing w:line="500" w:lineRule="exac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对个人和家庭的补助</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righ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14</w:t>
            </w:r>
            <w:r>
              <w:rPr>
                <w:rFonts w:hint="eastAsia" w:ascii="仿宋" w:hAnsi="仿宋" w:eastAsia="仿宋" w:cs="仿宋"/>
                <w:color w:val="000000" w:themeColor="text1"/>
                <w:sz w:val="32"/>
                <w:szCs w:val="32"/>
              </w:rPr>
              <w:t>.11</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righ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2</w:t>
            </w:r>
            <w:r>
              <w:rPr>
                <w:rFonts w:hint="eastAsia" w:ascii="仿宋" w:hAnsi="仿宋" w:eastAsia="仿宋" w:cs="仿宋"/>
                <w:color w:val="000000" w:themeColor="text1"/>
                <w:sz w:val="32"/>
                <w:szCs w:val="32"/>
              </w:rPr>
              <w:t>.69</w:t>
            </w:r>
          </w:p>
        </w:tc>
        <w:tc>
          <w:tcPr>
            <w:tcW w:w="1943"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right"/>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-11</w:t>
            </w:r>
            <w:r>
              <w:rPr>
                <w:rFonts w:hint="eastAsia" w:ascii="仿宋" w:hAnsi="仿宋" w:eastAsia="仿宋" w:cs="仿宋"/>
                <w:color w:val="000000" w:themeColor="text1"/>
                <w:sz w:val="32"/>
                <w:szCs w:val="32"/>
              </w:rPr>
              <w:t>.42</w:t>
            </w:r>
          </w:p>
        </w:tc>
      </w:tr>
      <w:tr>
        <w:tblPrEx>
          <w:tblCellMar>
            <w:top w:w="0" w:type="dxa"/>
            <w:left w:w="15" w:type="dxa"/>
            <w:bottom w:w="0" w:type="dxa"/>
            <w:right w:w="15" w:type="dxa"/>
          </w:tblCellMar>
        </w:tblPrEx>
        <w:trPr>
          <w:trHeight w:val="390" w:hRule="atLeast"/>
        </w:trPr>
        <w:tc>
          <w:tcPr>
            <w:tcW w:w="2973" w:type="dxa"/>
            <w:tcBorders>
              <w:top w:val="single" w:color="000000" w:sz="4" w:space="0"/>
              <w:left w:val="single" w:color="000000" w:sz="4" w:space="0"/>
              <w:bottom w:val="single" w:color="000000" w:sz="4" w:space="0"/>
            </w:tcBorders>
            <w:vAlign w:val="center"/>
          </w:tcPr>
          <w:p>
            <w:pPr>
              <w:autoSpaceDN w:val="0"/>
              <w:spacing w:line="500" w:lineRule="exac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商品和服务支出</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righ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38</w:t>
            </w:r>
            <w:r>
              <w:rPr>
                <w:rFonts w:hint="eastAsia" w:ascii="仿宋" w:hAnsi="仿宋" w:eastAsia="仿宋" w:cs="仿宋"/>
                <w:color w:val="000000" w:themeColor="text1"/>
                <w:sz w:val="32"/>
                <w:szCs w:val="32"/>
              </w:rPr>
              <w:t>.40</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righ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35</w:t>
            </w:r>
            <w:r>
              <w:rPr>
                <w:rFonts w:hint="eastAsia" w:ascii="仿宋" w:hAnsi="仿宋" w:eastAsia="仿宋" w:cs="仿宋"/>
                <w:color w:val="000000" w:themeColor="text1"/>
                <w:sz w:val="32"/>
                <w:szCs w:val="32"/>
              </w:rPr>
              <w:t>.38</w:t>
            </w:r>
          </w:p>
        </w:tc>
        <w:tc>
          <w:tcPr>
            <w:tcW w:w="1943"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right"/>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-3</w:t>
            </w:r>
            <w:r>
              <w:rPr>
                <w:rFonts w:hint="eastAsia" w:ascii="仿宋" w:hAnsi="仿宋" w:eastAsia="仿宋" w:cs="仿宋"/>
                <w:color w:val="000000" w:themeColor="text1"/>
                <w:sz w:val="32"/>
                <w:szCs w:val="32"/>
              </w:rPr>
              <w:t>.02</w:t>
            </w:r>
          </w:p>
        </w:tc>
      </w:tr>
      <w:tr>
        <w:tblPrEx>
          <w:tblCellMar>
            <w:top w:w="0" w:type="dxa"/>
            <w:left w:w="15" w:type="dxa"/>
            <w:bottom w:w="0" w:type="dxa"/>
            <w:right w:w="15" w:type="dxa"/>
          </w:tblCellMar>
        </w:tblPrEx>
        <w:trPr>
          <w:trHeight w:val="390" w:hRule="atLeast"/>
        </w:trPr>
        <w:tc>
          <w:tcPr>
            <w:tcW w:w="2973" w:type="dxa"/>
            <w:tcBorders>
              <w:top w:val="single" w:color="000000" w:sz="4" w:space="0"/>
              <w:left w:val="single" w:color="000000" w:sz="4" w:space="0"/>
              <w:bottom w:val="single" w:color="000000" w:sz="4" w:space="0"/>
            </w:tcBorders>
            <w:vAlign w:val="center"/>
          </w:tcPr>
          <w:p>
            <w:pPr>
              <w:autoSpaceDN w:val="0"/>
              <w:spacing w:line="500" w:lineRule="exact"/>
              <w:jc w:val="center"/>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合计</w:t>
            </w:r>
          </w:p>
        </w:tc>
        <w:tc>
          <w:tcPr>
            <w:tcW w:w="1724"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righ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522</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28"/>
                <w:szCs w:val="28"/>
              </w:rPr>
              <w:t>80</w:t>
            </w:r>
          </w:p>
        </w:tc>
        <w:tc>
          <w:tcPr>
            <w:tcW w:w="1748" w:type="dxa"/>
            <w:tcBorders>
              <w:top w:val="single" w:color="000000" w:sz="4" w:space="0"/>
              <w:left w:val="single" w:color="000000" w:sz="4" w:space="0"/>
              <w:bottom w:val="single" w:color="000000" w:sz="4" w:space="0"/>
              <w:right w:val="single" w:color="000000" w:sz="4" w:space="0"/>
            </w:tcBorders>
            <w:vAlign w:val="center"/>
          </w:tcPr>
          <w:p>
            <w:pPr>
              <w:autoSpaceDN w:val="0"/>
              <w:spacing w:line="500" w:lineRule="exact"/>
              <w:jc w:val="right"/>
              <w:textAlignment w:val="center"/>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555</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28"/>
                <w:szCs w:val="28"/>
              </w:rPr>
              <w:t>69</w:t>
            </w:r>
          </w:p>
        </w:tc>
        <w:tc>
          <w:tcPr>
            <w:tcW w:w="1943"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right"/>
              <w:rPr>
                <w:rFonts w:ascii="仿宋" w:hAnsi="仿宋" w:eastAsia="仿宋" w:cs="仿宋"/>
                <w:color w:val="000000" w:themeColor="text1"/>
                <w:sz w:val="28"/>
                <w:szCs w:val="28"/>
              </w:rPr>
            </w:pPr>
            <w:r>
              <w:rPr>
                <w:rFonts w:hint="eastAsia" w:ascii="仿宋" w:hAnsi="仿宋" w:eastAsia="仿宋" w:cs="仿宋"/>
                <w:color w:val="000000" w:themeColor="text1"/>
                <w:sz w:val="28"/>
                <w:szCs w:val="28"/>
              </w:rPr>
              <w:t>32</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28"/>
                <w:szCs w:val="28"/>
              </w:rPr>
              <w:t>89</w:t>
            </w:r>
          </w:p>
        </w:tc>
      </w:tr>
    </w:tbl>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从上表反映，本单位基本支出预算超支32.89万元，其中：工资福利超支47.33万元，对个人和家庭的补助节约11.41万元，商品和服务支出节约3.02万元。</w:t>
      </w:r>
    </w:p>
    <w:p>
      <w:pPr>
        <w:pStyle w:val="4"/>
        <w:spacing w:before="0" w:after="0" w:line="600" w:lineRule="exact"/>
        <w:ind w:firstLine="643" w:firstLineChars="200"/>
        <w:rPr>
          <w:rFonts w:ascii="仿宋_GB2312" w:hAnsi="仿宋_GB2312" w:eastAsia="仿宋_GB2312" w:cs="仿宋_GB2312"/>
          <w:color w:val="000000" w:themeColor="text1"/>
        </w:rPr>
      </w:pPr>
      <w:bookmarkStart w:id="6" w:name="_Toc5261"/>
      <w:bookmarkStart w:id="7" w:name="_Toc1853"/>
      <w:r>
        <w:rPr>
          <w:rFonts w:hint="eastAsia" w:ascii="仿宋_GB2312" w:hAnsi="仿宋_GB2312" w:eastAsia="仿宋_GB2312" w:cs="仿宋_GB2312"/>
          <w:color w:val="000000" w:themeColor="text1"/>
        </w:rPr>
        <w:t>3.“三公经费”支出使用和管理情况</w:t>
      </w:r>
      <w:bookmarkEnd w:id="6"/>
      <w:bookmarkEnd w:id="7"/>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2019年本单位“三公经费”预算金额16万元，其中公务接待费6万元，公务用车及运行维护费10万元；2019年本单位“三公经费”决算金额为10.88万元，其中公务用车购置及运行维护费7.29万元，公务接待费3.58万元。</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2019年“三公经费”结余5.12万元，其中公务接待费结余2.42万元，结余率41%；公务用车购置及运行维护费结余2.71万元，结余率28%。</w:t>
      </w:r>
      <w:bookmarkStart w:id="8" w:name="_Toc295"/>
    </w:p>
    <w:p>
      <w:pPr>
        <w:pStyle w:val="17"/>
        <w:spacing w:after="0" w:line="600" w:lineRule="exact"/>
        <w:ind w:firstLine="640"/>
        <w:rPr>
          <w:rFonts w:ascii="楷体_GB2312" w:hAnsi="楷体_GB2312" w:eastAsia="楷体_GB2312" w:cs="楷体_GB2312"/>
          <w:color w:val="000000" w:themeColor="text1"/>
          <w:kern w:val="2"/>
          <w:sz w:val="32"/>
          <w:szCs w:val="32"/>
        </w:rPr>
      </w:pPr>
      <w:r>
        <w:rPr>
          <w:rFonts w:hint="eastAsia" w:ascii="楷体_GB2312" w:hAnsi="楷体_GB2312" w:eastAsia="楷体_GB2312" w:cs="楷体_GB2312"/>
          <w:color w:val="000000" w:themeColor="text1"/>
          <w:kern w:val="2"/>
          <w:sz w:val="32"/>
          <w:szCs w:val="32"/>
        </w:rPr>
        <w:t>(三）项目支出管理情况</w:t>
      </w:r>
      <w:bookmarkEnd w:id="8"/>
    </w:p>
    <w:p>
      <w:pPr>
        <w:pStyle w:val="4"/>
        <w:spacing w:before="0" w:after="0" w:line="600" w:lineRule="exact"/>
        <w:ind w:firstLine="643" w:firstLineChars="200"/>
        <w:rPr>
          <w:rFonts w:ascii="仿宋_GB2312" w:hAnsi="仿宋_GB2312" w:eastAsia="仿宋_GB2312" w:cs="仿宋_GB2312"/>
          <w:color w:val="000000" w:themeColor="text1"/>
        </w:rPr>
      </w:pPr>
      <w:bookmarkStart w:id="9" w:name="_Toc26793"/>
      <w:r>
        <w:rPr>
          <w:rFonts w:hint="eastAsia" w:ascii="仿宋_GB2312" w:hAnsi="仿宋_GB2312" w:eastAsia="仿宋_GB2312" w:cs="仿宋_GB2312"/>
          <w:color w:val="000000" w:themeColor="text1"/>
        </w:rPr>
        <w:t>1.项目资金总投入等情况分析</w:t>
      </w:r>
      <w:bookmarkEnd w:id="9"/>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2019年项目资金预算支出为168.00万元，其中市政设施维护管理日常经费100万元，项目管理66万元，门面租金、执收成本2万元。本年实际支出2840,91万元，具体包括：工资福利支出、商品和服务支出、对个人和家庭的补助，资本性支出。其中：商品和服务支出130.12万元，对个人和家庭的补助13.58万元，资本性支出2,596.23万元。</w:t>
      </w:r>
    </w:p>
    <w:p>
      <w:pPr>
        <w:pStyle w:val="4"/>
        <w:spacing w:before="0" w:after="0" w:line="600" w:lineRule="exact"/>
        <w:ind w:firstLine="643" w:firstLineChars="200"/>
        <w:rPr>
          <w:rFonts w:ascii="仿宋_GB2312" w:hAnsi="仿宋_GB2312" w:eastAsia="仿宋_GB2312" w:cs="仿宋_GB2312"/>
          <w:color w:val="000000" w:themeColor="text1"/>
        </w:rPr>
      </w:pPr>
      <w:bookmarkStart w:id="10" w:name="_Toc5582"/>
      <w:r>
        <w:rPr>
          <w:rFonts w:hint="eastAsia" w:ascii="仿宋_GB2312" w:hAnsi="仿宋_GB2312" w:eastAsia="仿宋_GB2312" w:cs="仿宋_GB2312"/>
          <w:color w:val="000000" w:themeColor="text1"/>
        </w:rPr>
        <w:t>2.本年项目资金实际使用情况分析</w:t>
      </w:r>
      <w:bookmarkEnd w:id="10"/>
    </w:p>
    <w:p>
      <w:pPr>
        <w:spacing w:after="0" w:line="600" w:lineRule="exac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2019年项目资金实际支出</w:t>
      </w:r>
      <w:r>
        <w:rPr>
          <w:rFonts w:hint="eastAsia" w:ascii="仿宋_GB2312" w:hAnsi="仿宋_GB2312" w:eastAsia="仿宋_GB2312" w:cs="仿宋_GB2312"/>
          <w:color w:val="000000" w:themeColor="text1"/>
          <w:kern w:val="2"/>
          <w:sz w:val="32"/>
          <w:szCs w:val="32"/>
        </w:rPr>
        <w:t>2,596.23</w:t>
      </w:r>
      <w:r>
        <w:rPr>
          <w:rFonts w:hint="eastAsia" w:ascii="仿宋" w:hAnsi="仿宋" w:eastAsia="仿宋" w:cs="仿宋"/>
          <w:color w:val="000000" w:themeColor="text1"/>
          <w:sz w:val="32"/>
          <w:szCs w:val="32"/>
        </w:rPr>
        <w:t>万元，支出具体如下：</w:t>
      </w:r>
    </w:p>
    <w:tbl>
      <w:tblPr>
        <w:tblStyle w:val="12"/>
        <w:tblW w:w="90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3"/>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623" w:type="dxa"/>
          </w:tcPr>
          <w:p>
            <w:pPr>
              <w:widowControl w:val="0"/>
              <w:spacing w:after="0" w:line="400" w:lineRule="exact"/>
              <w:ind w:firstLine="480"/>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项目名称</w:t>
            </w:r>
          </w:p>
        </w:tc>
        <w:tc>
          <w:tcPr>
            <w:tcW w:w="2390" w:type="dxa"/>
          </w:tcPr>
          <w:p>
            <w:pPr>
              <w:widowControl w:val="0"/>
              <w:spacing w:after="0" w:line="400" w:lineRule="exact"/>
              <w:ind w:firstLine="480"/>
              <w:jc w:val="center"/>
              <w:rPr>
                <w:rFonts w:ascii="仿宋" w:hAnsi="仿宋" w:eastAsia="仿宋" w:cs="仿宋"/>
                <w:color w:val="000000" w:themeColor="text1"/>
                <w:sz w:val="24"/>
                <w:szCs w:val="24"/>
              </w:rPr>
            </w:pPr>
            <w:r>
              <w:rPr>
                <w:rFonts w:hint="eastAsia" w:ascii="仿宋" w:hAnsi="仿宋" w:eastAsia="仿宋" w:cs="仿宋"/>
                <w:color w:val="000000" w:themeColor="text1"/>
                <w:sz w:val="24"/>
                <w:szCs w:val="24"/>
              </w:rPr>
              <w:t>项目支出金额（元）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付2018年小额投资项目设计费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303870.00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付八曲河黑臭水体治理截污方案、胜利村B线干管溢流问题分析及方案设计费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50000.00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付老城区堵点管网检测及清淤项目费用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150000.00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付金甲冲路路面塌方修复工程设计费（已结清）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付文源商贸城排水管道改造工程设计费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68600.00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付望城区唯罗克路提质改造工程款（已结清）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222933.00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付一片区2016年4季度城区市政设施维护工程款（已结清）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430321.00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付四片区2017年4季度城区市政设施维护工程款（已结清）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336566.00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付三片区2017年4季度城区市政设施维护工程款（已结清）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146120.00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付望城区仁和路提质改造工程款（已结清）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207354.00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付二片区2017年3季度城区市政设施维护工程款（已结清）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795888.00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付二片区4季度城区市政设施维护工程款（已结清）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565664.00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付四片区2017年3季度城区市政设施维护工程款（已结清）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1069247.00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付一片区2017年1季度城区市政设施维护工程款（已结清）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348880.00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付雷锋大道马桥河-同心路段路面改造工程款（已结清)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107506.00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付雷锋大道马桥河-同心路段路面改造工程款（已结清)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71736.00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付喻家坡路人行道完善工程款（已结清）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291229.00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付郭亮路、中南路、西塘东街市政管网维护工程款（已结清）</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142250.00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付银杉路加油站管道抢险工程款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58596.00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付博士路口管网管道安装工程款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60240.00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付一片区2017年2季度市政设施维护工程款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364097.00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付一片区2017年3季度市政设施维护工程款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947099.00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sz w:val="18"/>
                <w:szCs w:val="18"/>
              </w:rPr>
              <w:t>付一片区2017年4季度市政设施维护工程款</w:t>
            </w:r>
          </w:p>
        </w:tc>
        <w:tc>
          <w:tcPr>
            <w:tcW w:w="2390" w:type="dxa"/>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sz w:val="18"/>
                <w:szCs w:val="18"/>
              </w:rPr>
              <w:t>192087.00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付经开区2017年1-2季度市政设施维护工程款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415599.00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付旺旺中路路面塌方修复工程</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91118.00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付金洲大道市政设施维修工程款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付望城区2017年市政管网改造工程款付望城区2017年市政管网改造工程款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1000000.00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付南湖溢流排水改造工程款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1000000.00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付经开区2018.12-2019.1月扫雪除冰费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93696.00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付刘家塘、燕坡重建地排口截污工程款</w:t>
            </w:r>
          </w:p>
        </w:tc>
        <w:tc>
          <w:tcPr>
            <w:tcW w:w="2390" w:type="dxa"/>
            <w:vAlign w:val="center"/>
          </w:tcPr>
          <w:p>
            <w:pPr>
              <w:widowControl/>
              <w:jc w:val="center"/>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　　　　　　　1380000.00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付二片区2018.12月污水应急抢险费用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81350.00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付二片区2018.12月-2019.1月扫雪除冰费用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95660.00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付二片区2018.12月扫雪除冰费用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89380.00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付一片区2018.1月扫雪除冰费用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87560.00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付一片区2018.12-2019.1月扫雪除冰费用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95628.00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付三片区2018.12月越高扫雪除冰费用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72920.00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付三片区2018.12-2019.1月扫雪除冰费用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124640.00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付经开区2018.1月扫雪除冰费用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99780.00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付银星路（与金甲冲路交汇处）路面塌方修复过程款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84361.00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付文源商贸城片区排水管道改造工程技术咨询费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付市政局道路修复工程造价咨询费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38500.00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付政府采购项目委托代理费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21588.00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付银杉路加油站管道抢险工程款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25112.00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付博士路口管网管道安装工程款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25817.00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付高塘岭大道终端排水箱涵塌陷抢修工程款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784001.00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付二片区2017年2季度望城区市政设施维护工程款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500368.00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付高裕南路（喻家坡-旺旺西路）增设排污管工程款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719495.00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付二片区2017年1-2季度望城区部分市政管网设施维护工程款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471505.00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付望城区银星路（金星大道-银杉路）路面修复工程款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740318.00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付三片区2017年1-2季度望城区部分市政管网设施维护工程款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412495.00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付马桥河（旺旺路-金穗路以南）路面塌方应急抢险工程款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1250426.00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付金星路与银星路交汇处路面塌方应急抢救工程款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72000.00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付普瑞路罐子岭公交站旁路口路面塌方抢险工程款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92000.00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付郭亮路（旺旺路至白马巷）路面修复工程</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1191490.00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付新塘路（高塘岭至杨水塘路）路面提质改造工程及人行道完善工程款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1342774.00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付高裕南路（喻家坡至旺旺西路）增设排污工程款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892579.00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付工农路人行道改造工程款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368145.00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付高裕中路（旺旺路至宝粮路）道路提质改造工程款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1463724.00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付银星路（金星大道至银杉路）路面修复工程款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264400.00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付旺旺中路片区新增排水管道工程勘核合同费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198000.00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付旺旺中路、莲湖路、望府路、高裕中路、下西塘片区地下管线测量合同费用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80000.00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付望城区污水管网截流改造及道路提质改造工程监理合同费用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198000.00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付2018年（第一批）管网改造和道路提质改造工程监理合同费用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125000.00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付马桥河路（旺旺路至金穗路以南）路面改造工程款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446581.00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付2019年政府投资建设项目设计采购费</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1460000.00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付旺旺中路派遣新增排水管道工程可行性研究报告费用</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93000.00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付朱正伟中线干管污水外溢补偿款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12000.00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付纪正万中线干管外溢补偿款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12000.00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付曹建波中线干管污水外溢补偿款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76000.00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付莫斯况中线干管污水外溢补偿款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付朱罗明中线干管污水外溢补偿款</w:t>
            </w:r>
          </w:p>
        </w:tc>
        <w:tc>
          <w:tcPr>
            <w:tcW w:w="2390" w:type="dxa"/>
            <w:vAlign w:val="center"/>
          </w:tcPr>
          <w:p>
            <w:pPr>
              <w:widowControl/>
              <w:jc w:val="right"/>
              <w:textAlignment w:val="center"/>
              <w:rPr>
                <w:rFonts w:ascii="仿宋" w:hAnsi="仿宋" w:eastAsia="仿宋" w:cs="仿宋"/>
                <w:color w:val="000000" w:themeColor="text1"/>
                <w:sz w:val="24"/>
                <w:szCs w:val="24"/>
              </w:rPr>
            </w:pPr>
            <w:r>
              <w:rPr>
                <w:rFonts w:hint="eastAsia" w:ascii="宋体" w:hAnsi="宋体" w:eastAsia="宋体" w:cs="宋体"/>
                <w:color w:val="000000"/>
                <w:sz w:val="18"/>
                <w:szCs w:val="18"/>
              </w:rPr>
              <w:t>21000.00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3" w:type="dxa"/>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sz w:val="18"/>
                <w:szCs w:val="18"/>
              </w:rPr>
              <w:t>合计</w:t>
            </w:r>
          </w:p>
        </w:tc>
        <w:tc>
          <w:tcPr>
            <w:tcW w:w="2390" w:type="dxa"/>
            <w:vAlign w:val="center"/>
          </w:tcPr>
          <w:p>
            <w:pPr>
              <w:widowControl/>
              <w:jc w:val="right"/>
              <w:textAlignment w:val="center"/>
              <w:rPr>
                <w:rFonts w:ascii="宋体" w:hAnsi="宋体" w:eastAsia="宋体" w:cs="宋体"/>
                <w:color w:val="000000"/>
                <w:sz w:val="18"/>
                <w:szCs w:val="18"/>
              </w:rPr>
            </w:pPr>
            <w:r>
              <w:rPr>
                <w:rFonts w:hint="eastAsia" w:ascii="宋体" w:hAnsi="宋体" w:eastAsia="宋体" w:cs="宋体"/>
                <w:color w:val="000000"/>
                <w:sz w:val="18"/>
                <w:szCs w:val="18"/>
              </w:rPr>
              <w:t>25962293.00</w:t>
            </w:r>
          </w:p>
        </w:tc>
      </w:tr>
    </w:tbl>
    <w:p>
      <w:pPr>
        <w:spacing w:after="0" w:line="600" w:lineRule="exact"/>
      </w:pPr>
    </w:p>
    <w:p>
      <w:pPr>
        <w:spacing w:after="0" w:line="600" w:lineRule="exact"/>
        <w:ind w:firstLine="640" w:firstLineChars="200"/>
        <w:rPr>
          <w:rFonts w:ascii="仿宋" w:hAnsi="仿宋" w:eastAsia="仿宋" w:cs="仿宋"/>
          <w:color w:val="000000" w:themeColor="text1"/>
          <w:kern w:val="2"/>
          <w:sz w:val="32"/>
          <w:szCs w:val="32"/>
        </w:rPr>
      </w:pPr>
    </w:p>
    <w:p>
      <w:pPr>
        <w:pStyle w:val="4"/>
        <w:spacing w:before="0" w:after="0" w:line="600" w:lineRule="exact"/>
        <w:ind w:firstLine="643" w:firstLineChars="200"/>
        <w:rPr>
          <w:rFonts w:ascii="仿宋_GB2312" w:hAnsi="仿宋_GB2312" w:eastAsia="仿宋_GB2312" w:cs="仿宋_GB2312"/>
          <w:color w:val="000000" w:themeColor="text1"/>
        </w:rPr>
      </w:pPr>
      <w:bookmarkStart w:id="11" w:name="_Toc30995"/>
      <w:r>
        <w:rPr>
          <w:rFonts w:hint="eastAsia" w:ascii="仿宋_GB2312" w:hAnsi="仿宋_GB2312" w:eastAsia="仿宋_GB2312" w:cs="仿宋_GB2312"/>
          <w:color w:val="000000" w:themeColor="text1"/>
        </w:rPr>
        <w:t>3.项目资金管理情况分析</w:t>
      </w:r>
      <w:bookmarkEnd w:id="11"/>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 w:hAnsi="仿宋" w:eastAsia="仿宋" w:cs="仿宋"/>
          <w:color w:val="000000" w:themeColor="text1"/>
          <w:sz w:val="32"/>
          <w:szCs w:val="32"/>
        </w:rPr>
        <w:t>（</w:t>
      </w:r>
      <w:r>
        <w:rPr>
          <w:rFonts w:hint="eastAsia" w:ascii="仿宋_GB2312" w:hAnsi="仿宋_GB2312" w:eastAsia="仿宋_GB2312" w:cs="仿宋_GB2312"/>
          <w:color w:val="000000" w:themeColor="text1"/>
          <w:kern w:val="2"/>
          <w:sz w:val="32"/>
          <w:szCs w:val="32"/>
        </w:rPr>
        <w:t>1）科学合理安排项目资金。本着“量入为出、统筹安排、保证重点、注重绩效”的原则，认真组织项目前期申报及论证工作。</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（2）加强项目资金的监管。加强项目实施进度跟踪监管，定期调度，掌握项目进展情况，及时发现并积极解决存在的问题，加快项目实施进度，严格项目实施质量，不断提高资金的使用效益。</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3）加强与相关职能部门的沟通协作，完善市政设施维护管理程序，加强建设单位养护期内的监督和检查，确保对已建成市政设施维护和管养，同时不断完善城市市政设施维护制度体系，加大设施维护督查考核力度，逐步解决好设施维护管理工作中的不足。</w:t>
      </w:r>
    </w:p>
    <w:p>
      <w:pPr>
        <w:pStyle w:val="2"/>
        <w:spacing w:before="0" w:after="0" w:line="600" w:lineRule="exact"/>
        <w:ind w:firstLine="640" w:firstLineChars="200"/>
        <w:rPr>
          <w:rFonts w:ascii="黑体" w:hAnsi="黑体" w:eastAsia="黑体" w:cs="黑体"/>
          <w:b w:val="0"/>
          <w:bCs w:val="0"/>
          <w:color w:val="000000" w:themeColor="text1"/>
          <w:sz w:val="32"/>
          <w:szCs w:val="32"/>
        </w:rPr>
      </w:pPr>
      <w:bookmarkStart w:id="12" w:name="_Toc3611"/>
      <w:r>
        <w:rPr>
          <w:rFonts w:hint="eastAsia" w:ascii="黑体" w:hAnsi="黑体" w:eastAsia="黑体" w:cs="黑体"/>
          <w:b w:val="0"/>
          <w:bCs w:val="0"/>
          <w:color w:val="000000" w:themeColor="text1"/>
          <w:sz w:val="32"/>
          <w:szCs w:val="32"/>
        </w:rPr>
        <w:t>三、资产管理情况</w:t>
      </w:r>
      <w:bookmarkEnd w:id="12"/>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截至2019年12 月31 日，本单位共有车辆6辆，其中一般公务用车6 辆；单位价值50 万元以上通用设备0台（套），单价100 万元以上专用设备0台（套）。按照财政要求，2019年开始对固定资产计提折旧，我单位固定资产折旧数额为1,814,906.93元，固定</w:t>
      </w:r>
      <w:r>
        <w:rPr>
          <w:rFonts w:hint="eastAsia" w:ascii="仿宋_GB2312" w:hAnsi="仿宋_GB2312" w:eastAsia="仿宋_GB2312" w:cs="仿宋_GB2312"/>
          <w:color w:val="000000" w:themeColor="text1"/>
          <w:kern w:val="2"/>
          <w:sz w:val="32"/>
          <w:szCs w:val="32"/>
          <w:lang w:eastAsia="zh-CN"/>
        </w:rPr>
        <w:t>资产</w:t>
      </w:r>
      <w:r>
        <w:rPr>
          <w:rFonts w:hint="eastAsia" w:ascii="仿宋_GB2312" w:hAnsi="仿宋_GB2312" w:eastAsia="仿宋_GB2312" w:cs="仿宋_GB2312"/>
          <w:color w:val="000000" w:themeColor="text1"/>
          <w:kern w:val="2"/>
          <w:sz w:val="32"/>
          <w:szCs w:val="32"/>
        </w:rPr>
        <w:t xml:space="preserve">净值为1,370,336.24元。 </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本部门固定资产管理按照“统一领导，归口管理”的办法实行，固定资产的采购、保管、维修、配置和处置等工作由办公室负责。办公室应对固定资产进行日常管理，定期进行清查盘点，保证账账相符，账实相符。年度对盘盈、盘亏的固定资产按相关规定及时处理。闲置的固定资产，按照规定及时研究处理，使之合理流动，充分发挥其使用效益。需要更新固定资产时，应严格按照国有资产处置有关规定，遵循物尽其用的原则，科学鉴定在用办公设备的报废条件，办理闲置或拟报废资产的处置手续后方可申报购置预算。</w:t>
      </w:r>
    </w:p>
    <w:p>
      <w:pPr>
        <w:pStyle w:val="2"/>
        <w:spacing w:before="0" w:after="0" w:line="600" w:lineRule="exact"/>
        <w:ind w:firstLine="640" w:firstLineChars="200"/>
        <w:rPr>
          <w:rFonts w:ascii="黑体" w:hAnsi="黑体" w:eastAsia="黑体" w:cs="黑体"/>
          <w:b w:val="0"/>
          <w:bCs w:val="0"/>
          <w:color w:val="000000" w:themeColor="text1"/>
          <w:sz w:val="32"/>
          <w:szCs w:val="32"/>
        </w:rPr>
      </w:pPr>
      <w:bookmarkStart w:id="13" w:name="_Toc21932"/>
      <w:r>
        <w:rPr>
          <w:rFonts w:hint="eastAsia" w:ascii="黑体" w:hAnsi="黑体" w:eastAsia="黑体" w:cs="黑体"/>
          <w:b w:val="0"/>
          <w:bCs w:val="0"/>
          <w:color w:val="000000" w:themeColor="text1"/>
          <w:sz w:val="32"/>
          <w:szCs w:val="32"/>
        </w:rPr>
        <w:t>四、部门整体支出绩效目标及开展情况</w:t>
      </w:r>
      <w:bookmarkEnd w:id="13"/>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2019年本单位按照年初工作规划和重点性工作安排，通过加强预算收支的管理，不断建立健全内部管理制度，梳理内部管理流程，部门整体支出管理情况得到了提升。根据前面对2019年部门整体支出状况的概述和分析，部门整体支出绩效情况如下：</w:t>
      </w:r>
    </w:p>
    <w:p>
      <w:pPr>
        <w:pStyle w:val="17"/>
        <w:spacing w:after="0" w:line="600" w:lineRule="exact"/>
        <w:ind w:firstLine="640"/>
        <w:rPr>
          <w:rFonts w:ascii="楷体_GB2312" w:hAnsi="楷体_GB2312" w:eastAsia="楷体_GB2312" w:cs="楷体_GB2312"/>
          <w:color w:val="000000" w:themeColor="text1"/>
          <w:kern w:val="2"/>
          <w:sz w:val="32"/>
          <w:szCs w:val="32"/>
        </w:rPr>
      </w:pPr>
      <w:bookmarkStart w:id="14" w:name="_Toc21617_WPSOffice_Level3"/>
      <w:r>
        <w:rPr>
          <w:rFonts w:hint="eastAsia" w:ascii="楷体_GB2312" w:hAnsi="楷体_GB2312" w:eastAsia="楷体_GB2312" w:cs="楷体_GB2312"/>
          <w:color w:val="000000" w:themeColor="text1"/>
          <w:kern w:val="2"/>
          <w:sz w:val="32"/>
          <w:szCs w:val="32"/>
        </w:rPr>
        <w:t>（一）预算执行情况</w:t>
      </w:r>
      <w:bookmarkEnd w:id="14"/>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为切实做好厉行节约工作，努力降低行政成本。严格按年初计划和制度规定的标准执行，全年没有新建楼堂馆所。本单位2019年初预算安排数为690.80万元，本年追加预算2,705.80万元，实际支出3,396.60万元，年末结转和结余0.00万元。预算完成率100.00%，预算控制率为79.66%。</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 w:hAnsi="仿宋" w:eastAsia="仿宋" w:cs="仿宋"/>
          <w:sz w:val="32"/>
          <w:szCs w:val="32"/>
        </w:rPr>
      </w:pPr>
      <w:bookmarkStart w:id="15" w:name="_Toc5032_WPSOffice_Level3"/>
      <w:r>
        <w:rPr>
          <w:rFonts w:hint="eastAsia" w:ascii="楷体_GB2312" w:hAnsi="楷体_GB2312" w:eastAsia="楷体_GB2312" w:cs="楷体_GB2312"/>
          <w:color w:val="000000" w:themeColor="text1"/>
          <w:kern w:val="2"/>
          <w:sz w:val="32"/>
          <w:szCs w:val="32"/>
        </w:rPr>
        <w:t>（二）预算管理情况</w:t>
      </w:r>
      <w:bookmarkEnd w:id="15"/>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“三公”经费较好地控制在预算范围之内。本单位2019年公用经费控制率为 92%；“三公经费”控制率为 68%。</w:t>
      </w:r>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根据部门整体支出绩效评价指标表，本单位2019年度</w:t>
      </w:r>
    </w:p>
    <w:p>
      <w:pPr>
        <w:spacing w:after="0" w:line="600" w:lineRule="exact"/>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评价得分为84.5分。</w:t>
      </w:r>
    </w:p>
    <w:p>
      <w:pPr>
        <w:pStyle w:val="2"/>
        <w:spacing w:before="0" w:after="0" w:line="600" w:lineRule="exact"/>
        <w:ind w:firstLine="640" w:firstLineChars="200"/>
        <w:rPr>
          <w:rFonts w:ascii="黑体" w:hAnsi="黑体" w:eastAsia="黑体" w:cs="黑体"/>
          <w:b w:val="0"/>
          <w:bCs w:val="0"/>
          <w:color w:val="000000" w:themeColor="text1"/>
          <w:sz w:val="32"/>
          <w:szCs w:val="32"/>
        </w:rPr>
      </w:pPr>
      <w:bookmarkStart w:id="16" w:name="_Toc24936"/>
      <w:r>
        <w:rPr>
          <w:rFonts w:hint="eastAsia" w:ascii="黑体" w:hAnsi="黑体" w:eastAsia="黑体" w:cs="黑体"/>
          <w:b w:val="0"/>
          <w:bCs w:val="0"/>
          <w:color w:val="000000" w:themeColor="text1"/>
          <w:sz w:val="32"/>
          <w:szCs w:val="32"/>
        </w:rPr>
        <w:t>五、部门整体支出绩效目标实现情况</w:t>
      </w:r>
      <w:bookmarkEnd w:id="16"/>
    </w:p>
    <w:p>
      <w:pPr>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2019年，我中心紧紧围绕区委，区政府的工作部署，砥砺奋进，攻坚克难，完成了全年主要工作目标。</w:t>
      </w:r>
    </w:p>
    <w:p>
      <w:pPr>
        <w:pStyle w:val="17"/>
        <w:spacing w:after="0" w:line="600" w:lineRule="exact"/>
        <w:ind w:firstLine="640"/>
        <w:rPr>
          <w:rFonts w:ascii="楷体_GB2312" w:hAnsi="楷体_GB2312" w:eastAsia="楷体_GB2312" w:cs="楷体_GB2312"/>
          <w:color w:val="000000" w:themeColor="text1"/>
          <w:kern w:val="2"/>
          <w:sz w:val="32"/>
          <w:szCs w:val="32"/>
        </w:rPr>
      </w:pPr>
      <w:r>
        <w:rPr>
          <w:rFonts w:hint="eastAsia" w:ascii="楷体_GB2312" w:hAnsi="楷体_GB2312" w:eastAsia="楷体_GB2312" w:cs="楷体_GB2312"/>
          <w:color w:val="000000" w:themeColor="text1"/>
          <w:kern w:val="2"/>
          <w:sz w:val="32"/>
          <w:szCs w:val="32"/>
        </w:rPr>
        <w:t>（一）服务城市发展，市政设施维护管养工作</w:t>
      </w:r>
    </w:p>
    <w:p>
      <w:pPr>
        <w:spacing w:after="0" w:line="600" w:lineRule="exact"/>
        <w:ind w:firstLine="643"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sz w:val="32"/>
          <w:szCs w:val="32"/>
        </w:rPr>
        <w:t>1、设施维护精细管理工作。</w:t>
      </w:r>
      <w:r>
        <w:rPr>
          <w:rFonts w:hint="eastAsia" w:ascii="仿宋_GB2312" w:hAnsi="仿宋_GB2312" w:eastAsia="仿宋_GB2312" w:cs="仿宋_GB2312"/>
          <w:color w:val="000000" w:themeColor="text1"/>
          <w:kern w:val="2"/>
          <w:sz w:val="32"/>
          <w:szCs w:val="32"/>
        </w:rPr>
        <w:t>加强对城区道路设施的巡查督查力度和对群众反映事项的处置力度，发现问题及时处置，加大城区破损道路、背街小巷路面维护力度。今年对金星路、普瑞路等13处桥梁进行了粉饰维护，对雷锋电影院、人民医院、邮政银行前坪等处路段进行了集中维护维修；对世纪华联、百合湖滨、望府佳园前等处人行道进行了沥青板块改造；对郭亮中路、旺旺路等处路面基逢进行了精准灌缝修复。全年共计铺设油砂路面11800平方米、水泥路面1200平方米、桥面维护5057平方米；麻石板、盲道板11000余平方米，路沿石、树围石3000米，交通护栏639米；更换井座井盖520余套、泄水桥1154套。</w:t>
      </w:r>
    </w:p>
    <w:p>
      <w:pPr>
        <w:spacing w:after="0" w:line="600" w:lineRule="exact"/>
        <w:ind w:firstLine="643"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sz w:val="32"/>
          <w:szCs w:val="32"/>
        </w:rPr>
        <w:t>2、管网维护通畅工作。</w:t>
      </w:r>
      <w:r>
        <w:rPr>
          <w:rFonts w:hint="eastAsia" w:ascii="仿宋_GB2312" w:hAnsi="仿宋_GB2312" w:eastAsia="仿宋_GB2312" w:cs="仿宋_GB2312"/>
          <w:color w:val="000000" w:themeColor="text1"/>
          <w:kern w:val="2"/>
          <w:sz w:val="32"/>
          <w:szCs w:val="32"/>
        </w:rPr>
        <w:t>及时清理、清淤雨污管网才能确保运行通畅。对城区的郭亮路、旺旺路、唯罗克路等处管道进行了内窥检测，查明了各管网的运行情况，为各雨污管道的清淤、改造提供了详实的数据支撑；对马桥河流域、国控胜利断面等处河流排口情况进行了全面排查，并对其存在的问题进行了整改；对奥海路、知贤路、文源路等条道路的管网进行了疏通疏浚，共计清淤管道13000余米，清理淤泥3500余立方米；</w:t>
      </w:r>
    </w:p>
    <w:p>
      <w:pPr>
        <w:pStyle w:val="17"/>
        <w:spacing w:after="0" w:line="600" w:lineRule="exact"/>
        <w:ind w:firstLine="640"/>
        <w:rPr>
          <w:rFonts w:ascii="楷体_GB2312" w:hAnsi="楷体_GB2312" w:eastAsia="楷体_GB2312" w:cs="楷体_GB2312"/>
          <w:color w:val="000000" w:themeColor="text1"/>
          <w:kern w:val="2"/>
          <w:sz w:val="32"/>
          <w:szCs w:val="32"/>
        </w:rPr>
      </w:pPr>
      <w:r>
        <w:rPr>
          <w:rFonts w:hint="eastAsia" w:ascii="楷体_GB2312" w:hAnsi="楷体_GB2312" w:eastAsia="楷体_GB2312" w:cs="楷体_GB2312"/>
          <w:color w:val="000000" w:themeColor="text1"/>
          <w:kern w:val="2"/>
          <w:sz w:val="32"/>
          <w:szCs w:val="32"/>
        </w:rPr>
        <w:t>（二）提质改造建设任务完成情况</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3"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sz w:val="32"/>
          <w:szCs w:val="32"/>
        </w:rPr>
        <w:t>1、路面整体提质。</w:t>
      </w:r>
      <w:r>
        <w:rPr>
          <w:rFonts w:hint="eastAsia" w:ascii="仿宋_GB2312" w:hAnsi="仿宋_GB2312" w:eastAsia="仿宋_GB2312" w:cs="仿宋_GB2312"/>
          <w:color w:val="000000" w:themeColor="text1"/>
          <w:kern w:val="2"/>
          <w:sz w:val="32"/>
          <w:szCs w:val="32"/>
        </w:rPr>
        <w:t>对群众关注度高的高裕南路、中路、银星路、马桥河路、新塘路、高塘岭西街、取忠路、宝粮路、工农西路等道路的人行道、盲道进行了全面提质改造。</w:t>
      </w:r>
    </w:p>
    <w:p>
      <w:pPr>
        <w:spacing w:after="0" w:line="600" w:lineRule="exact"/>
        <w:ind w:firstLine="643"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sz w:val="32"/>
          <w:szCs w:val="32"/>
        </w:rPr>
        <w:t>2、雨污截流改造。</w:t>
      </w:r>
      <w:r>
        <w:rPr>
          <w:rFonts w:hint="eastAsia" w:ascii="仿宋_GB2312" w:hAnsi="仿宋_GB2312" w:eastAsia="仿宋_GB2312" w:cs="仿宋_GB2312"/>
          <w:color w:val="000000" w:themeColor="text1"/>
          <w:kern w:val="2"/>
          <w:sz w:val="32"/>
          <w:szCs w:val="32"/>
        </w:rPr>
        <w:t>结合“三年截污行动计划”、“河长制”、“黑臭水体治理”等重点工作，实施了工农西路、工农中路、连江路、郭亮北路、高裕路等雨污分流改造工程；实施了刘家塘重建地、燕坡重建地、马桥河排口等马桥河水体综合治理截流工程；实施了旺旺中路、莲湖路、望府路等路段的污水管道改造工程。</w:t>
      </w:r>
    </w:p>
    <w:p>
      <w:pPr>
        <w:pStyle w:val="17"/>
        <w:spacing w:after="0" w:line="600" w:lineRule="exact"/>
        <w:ind w:firstLine="640"/>
        <w:rPr>
          <w:rFonts w:ascii="楷体_GB2312" w:hAnsi="楷体_GB2312" w:eastAsia="楷体_GB2312" w:cs="楷体_GB2312"/>
          <w:color w:val="000000" w:themeColor="text1"/>
          <w:kern w:val="2"/>
          <w:sz w:val="32"/>
          <w:szCs w:val="32"/>
        </w:rPr>
      </w:pPr>
      <w:r>
        <w:rPr>
          <w:rFonts w:hint="eastAsia" w:ascii="楷体_GB2312" w:hAnsi="楷体_GB2312" w:eastAsia="楷体_GB2312" w:cs="楷体_GB2312"/>
          <w:color w:val="000000" w:themeColor="text1"/>
          <w:kern w:val="2"/>
          <w:sz w:val="32"/>
          <w:szCs w:val="32"/>
        </w:rPr>
        <w:t>（三）政务公开工作</w:t>
      </w:r>
    </w:p>
    <w:p>
      <w:pPr>
        <w:spacing w:after="0" w:line="600" w:lineRule="exact"/>
        <w:ind w:firstLine="643"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sz w:val="32"/>
          <w:szCs w:val="32"/>
        </w:rPr>
        <w:t>1、以优化营商环境为契机，提升管理服务水平。</w:t>
      </w:r>
      <w:r>
        <w:rPr>
          <w:rFonts w:hint="eastAsia" w:ascii="仿宋_GB2312" w:hAnsi="仿宋_GB2312" w:eastAsia="仿宋_GB2312" w:cs="仿宋_GB2312"/>
          <w:color w:val="000000" w:themeColor="text1"/>
          <w:kern w:val="2"/>
          <w:sz w:val="32"/>
          <w:szCs w:val="32"/>
        </w:rPr>
        <w:t>转变工作作风，转“申请服务”为“主动服务”，积极主动为企业提供优质便利的服务。今年对“三供一业”项目、长沙电网“三年行动计划”、“630”项目、“5G”网络建设以及城投公司承建的等重点工程项目涉及的城市道路挖掘占用，简化了相关流程和城市道路挖掘占用费。</w:t>
      </w:r>
    </w:p>
    <w:p>
      <w:pPr>
        <w:spacing w:after="0" w:line="600" w:lineRule="exact"/>
        <w:ind w:firstLine="643"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sz w:val="32"/>
          <w:szCs w:val="32"/>
        </w:rPr>
        <w:t>2、梳理“一件事一次办”，实现行政效能提速。</w:t>
      </w:r>
      <w:r>
        <w:rPr>
          <w:rFonts w:hint="eastAsia" w:ascii="仿宋_GB2312" w:hAnsi="仿宋_GB2312" w:eastAsia="仿宋_GB2312" w:cs="仿宋_GB2312"/>
          <w:color w:val="000000" w:themeColor="text1"/>
          <w:sz w:val="32"/>
          <w:szCs w:val="32"/>
        </w:rPr>
        <w:t>占</w:t>
      </w:r>
      <w:r>
        <w:rPr>
          <w:rFonts w:hint="eastAsia" w:ascii="仿宋_GB2312" w:hAnsi="仿宋_GB2312" w:eastAsia="仿宋_GB2312" w:cs="仿宋_GB2312"/>
          <w:color w:val="000000" w:themeColor="text1"/>
          <w:kern w:val="2"/>
          <w:sz w:val="32"/>
          <w:szCs w:val="32"/>
        </w:rPr>
        <w:t>用、挖掘城市道路审批事项已由原三级办理申请人最多跑两次调整为二级办理申请人最多跑一次事项、门店装修的城市道路临时占用缩减办理时限，由承诺的2个工作时限缩短到1个工作，让群众办事更省时，进一步实现便民利民。全年，审批办理“占用、挖掘城市道路”行政许可208件，收取城市道路挖掘占用费用近20万元，督促、纠正各种违规占道、不规范施工行为120余处。</w:t>
      </w:r>
    </w:p>
    <w:p>
      <w:pPr>
        <w:pStyle w:val="17"/>
        <w:spacing w:after="0" w:line="600" w:lineRule="exact"/>
        <w:ind w:firstLine="640"/>
        <w:rPr>
          <w:rFonts w:ascii="楷体_GB2312" w:hAnsi="楷体_GB2312" w:eastAsia="楷体_GB2312" w:cs="楷体_GB2312"/>
          <w:color w:val="000000" w:themeColor="text1"/>
          <w:kern w:val="2"/>
          <w:sz w:val="32"/>
          <w:szCs w:val="32"/>
        </w:rPr>
      </w:pPr>
      <w:r>
        <w:rPr>
          <w:rFonts w:hint="eastAsia" w:ascii="楷体_GB2312" w:hAnsi="楷体_GB2312" w:eastAsia="楷体_GB2312" w:cs="楷体_GB2312"/>
          <w:color w:val="000000" w:themeColor="text1"/>
          <w:kern w:val="2"/>
          <w:sz w:val="32"/>
          <w:szCs w:val="32"/>
        </w:rPr>
        <w:t>（四）城市管理相关工作任务</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按照区文明委、区城管委相关工作要求，积极应对区长信箱、人大政协交办、城市管理数字化信息平台、12345热线和城市文明指数测评等反馈机制，接收12345市民服务热线问题305条，接收区应急联动信息710条，已全部处理完毕，无延迟和二次交办事件。</w:t>
      </w:r>
    </w:p>
    <w:p>
      <w:pPr>
        <w:pStyle w:val="2"/>
        <w:spacing w:before="0" w:after="0" w:line="600" w:lineRule="exact"/>
        <w:ind w:firstLine="640" w:firstLineChars="200"/>
        <w:rPr>
          <w:rFonts w:ascii="黑体" w:hAnsi="黑体" w:eastAsia="黑体" w:cs="黑体"/>
          <w:b w:val="0"/>
          <w:bCs w:val="0"/>
          <w:color w:val="000000" w:themeColor="text1"/>
          <w:sz w:val="32"/>
          <w:szCs w:val="32"/>
        </w:rPr>
      </w:pPr>
      <w:bookmarkStart w:id="17" w:name="_Toc29590"/>
      <w:r>
        <w:rPr>
          <w:rFonts w:hint="eastAsia" w:ascii="黑体" w:hAnsi="黑体" w:eastAsia="黑体" w:cs="黑体"/>
          <w:b w:val="0"/>
          <w:bCs w:val="0"/>
          <w:color w:val="000000" w:themeColor="text1"/>
          <w:sz w:val="32"/>
          <w:szCs w:val="32"/>
        </w:rPr>
        <w:t>六、部门整体支出绩效中存在问题及改进措施</w:t>
      </w:r>
      <w:bookmarkEnd w:id="17"/>
    </w:p>
    <w:p>
      <w:pPr>
        <w:pStyle w:val="17"/>
        <w:spacing w:after="0" w:line="600" w:lineRule="exact"/>
        <w:ind w:firstLine="640"/>
        <w:rPr>
          <w:rFonts w:ascii="楷体_GB2312" w:hAnsi="楷体_GB2312" w:eastAsia="楷体_GB2312" w:cs="楷体_GB2312"/>
          <w:color w:val="000000" w:themeColor="text1"/>
          <w:kern w:val="2"/>
          <w:sz w:val="32"/>
          <w:szCs w:val="32"/>
        </w:rPr>
      </w:pPr>
      <w:bookmarkStart w:id="18" w:name="_Toc18136"/>
      <w:r>
        <w:rPr>
          <w:rFonts w:hint="eastAsia" w:ascii="楷体_GB2312" w:hAnsi="楷体_GB2312" w:eastAsia="楷体_GB2312" w:cs="楷体_GB2312"/>
          <w:color w:val="000000" w:themeColor="text1"/>
          <w:kern w:val="2"/>
          <w:sz w:val="32"/>
          <w:szCs w:val="32"/>
        </w:rPr>
        <w:t>（一）存在的问题</w:t>
      </w:r>
      <w:bookmarkEnd w:id="18"/>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通过上述对本单位整体支出情况的分析，在整体支出的预算编制、执行和管理过程中，依然存在一些问题和不足。</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（1）在职在编人员控制不佳，在职人员控制率达  109 %。</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2）本单位基本支出预算安排522.80万元，基本支出决算金额555.69万元。项目支出预算安排168.00万元，项目支出决算金额2,840.91万元。首先，预算刚性不够，预算的计划性、科学性不强，资金使用缺乏预见性，削弱了预算的约束控制力。其次，预算编制工作有待细化。部门预算的编制一般根据当年财政状况、上年收支、预算单位自身的特点和业务进行核定，没有细化到具体项目，预算支出达不到逐笔进行核定的要求。</w:t>
      </w:r>
    </w:p>
    <w:p>
      <w:pPr>
        <w:pStyle w:val="17"/>
        <w:spacing w:after="0" w:line="600" w:lineRule="exact"/>
        <w:ind w:firstLine="640"/>
        <w:rPr>
          <w:rFonts w:ascii="楷体_GB2312" w:hAnsi="楷体_GB2312" w:eastAsia="楷体_GB2312" w:cs="楷体_GB2312"/>
          <w:color w:val="000000" w:themeColor="text1"/>
          <w:kern w:val="2"/>
          <w:sz w:val="32"/>
          <w:szCs w:val="32"/>
        </w:rPr>
      </w:pPr>
      <w:bookmarkStart w:id="19" w:name="_Toc29153"/>
      <w:r>
        <w:rPr>
          <w:rFonts w:hint="eastAsia" w:ascii="楷体_GB2312" w:hAnsi="楷体_GB2312" w:eastAsia="楷体_GB2312" w:cs="楷体_GB2312"/>
          <w:color w:val="000000" w:themeColor="text1"/>
          <w:kern w:val="2"/>
          <w:sz w:val="32"/>
          <w:szCs w:val="32"/>
        </w:rPr>
        <w:t>（二）改进措施和有关建议</w:t>
      </w:r>
      <w:bookmarkEnd w:id="19"/>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针对上述存在的问题及本单位整体支出管理工作的需要，拟实施的改进措施如下：</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1、细化预算编制，合理计划与安排当年预算内容的支出，同时尽量减少本年度预算的调整。</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2、优化项目申报补助时间和流程，提升效率。</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3、预算财务分析常态化。定期做好支出预算财务分析，及时对费用预算执行情况进行通报和预警，定期对预算执行情况进行自查，做好部门整体支出预算评价工作。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r>
        <w:rPr>
          <w:rFonts w:hint="eastAsia" w:ascii="仿宋_GB2312" w:hAnsi="仿宋_GB2312" w:eastAsia="仿宋_GB2312" w:cs="仿宋_GB2312"/>
          <w:color w:val="000000" w:themeColor="text1"/>
          <w:kern w:val="2"/>
          <w:sz w:val="32"/>
          <w:szCs w:val="32"/>
        </w:rPr>
        <w:t>4、加强财务核算工作，提高财务的精细化管理，确保财务核算的真实、及时、准确、完整。</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_GB2312" w:hAnsi="仿宋_GB2312" w:eastAsia="仿宋_GB2312" w:cs="仿宋_GB2312"/>
          <w:color w:val="000000" w:themeColor="text1"/>
          <w:kern w:val="2"/>
          <w:sz w:val="32"/>
          <w:szCs w:val="32"/>
        </w:rPr>
      </w:pPr>
    </w:p>
    <w:p>
      <w:pPr>
        <w:spacing w:after="0" w:line="600" w:lineRule="exact"/>
        <w:ind w:firstLine="640" w:firstLineChars="200"/>
        <w:rPr>
          <w:rFonts w:ascii="仿宋" w:hAnsi="仿宋" w:eastAsia="仿宋" w:cs="仿宋"/>
          <w:color w:val="000000" w:themeColor="text1"/>
          <w:sz w:val="32"/>
          <w:szCs w:val="32"/>
        </w:rPr>
      </w:pPr>
    </w:p>
    <w:p>
      <w:pPr>
        <w:spacing w:after="0" w:line="600" w:lineRule="exact"/>
        <w:ind w:firstLine="640" w:firstLineChars="200"/>
        <w:rPr>
          <w:rFonts w:ascii="仿宋" w:hAnsi="仿宋" w:eastAsia="仿宋" w:cs="仿宋"/>
          <w:color w:val="000000" w:themeColor="text1"/>
          <w:sz w:val="32"/>
          <w:szCs w:val="32"/>
        </w:rPr>
      </w:pPr>
    </w:p>
    <w:p>
      <w:pPr>
        <w:spacing w:after="0" w:line="600" w:lineRule="exact"/>
        <w:ind w:firstLine="640" w:firstLineChars="200"/>
        <w:jc w:val="righ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 xml:space="preserve"> 长沙市望城区市政设施维护中心</w:t>
      </w:r>
    </w:p>
    <w:p>
      <w:pPr>
        <w:wordWrap w:val="0"/>
        <w:spacing w:after="0" w:line="600" w:lineRule="exact"/>
        <w:ind w:right="640" w:firstLine="640" w:firstLineChars="200"/>
        <w:jc w:val="center"/>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 xml:space="preserve">                    2020年4月8日</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600" w:lineRule="exact"/>
        <w:ind w:firstLine="640" w:firstLineChars="200"/>
        <w:rPr>
          <w:rFonts w:ascii="仿宋" w:hAnsi="仿宋" w:eastAsia="仿宋" w:cs="仿宋"/>
          <w:sz w:val="32"/>
          <w:szCs w:val="32"/>
        </w:rPr>
      </w:pPr>
    </w:p>
    <w:p>
      <w:pPr>
        <w:spacing w:line="480" w:lineRule="exact"/>
        <w:ind w:firstLine="640" w:firstLineChars="200"/>
        <w:rPr>
          <w:rFonts w:ascii="仿宋" w:hAnsi="仿宋" w:eastAsia="仿宋" w:cs="仿宋"/>
          <w:sz w:val="32"/>
          <w:szCs w:val="32"/>
        </w:rPr>
      </w:pPr>
    </w:p>
    <w:p>
      <w:pPr>
        <w:spacing w:line="480" w:lineRule="exact"/>
        <w:ind w:firstLine="640" w:firstLineChars="200"/>
        <w:rPr>
          <w:rFonts w:ascii="仿宋" w:hAnsi="仿宋" w:eastAsia="仿宋" w:cs="仿宋"/>
          <w:color w:val="000000" w:themeColor="text1"/>
          <w:sz w:val="32"/>
          <w:szCs w:val="32"/>
        </w:rPr>
      </w:pPr>
    </w:p>
    <w:p>
      <w:pPr>
        <w:spacing w:line="480" w:lineRule="exact"/>
        <w:ind w:firstLine="640" w:firstLineChars="200"/>
        <w:rPr>
          <w:rFonts w:ascii="仿宋" w:hAnsi="仿宋" w:eastAsia="仿宋" w:cs="仿宋"/>
          <w:color w:val="000000" w:themeColor="text1"/>
          <w:sz w:val="32"/>
          <w:szCs w:val="32"/>
        </w:rPr>
      </w:pPr>
    </w:p>
    <w:p>
      <w:pPr>
        <w:spacing w:line="480" w:lineRule="exact"/>
        <w:rPr>
          <w:rFonts w:ascii="仿宋" w:hAnsi="仿宋" w:eastAsia="仿宋" w:cs="仿宋"/>
          <w:color w:val="000000" w:themeColor="text1"/>
          <w:sz w:val="32"/>
          <w:szCs w:val="32"/>
        </w:rPr>
      </w:pPr>
    </w:p>
    <w:p>
      <w:pPr>
        <w:pStyle w:val="2"/>
        <w:keepNext w:val="0"/>
        <w:keepLines w:val="0"/>
        <w:autoSpaceDE w:val="0"/>
        <w:autoSpaceDN w:val="0"/>
        <w:spacing w:before="277" w:after="0" w:line="240" w:lineRule="auto"/>
        <w:ind w:right="951" w:firstLine="660" w:firstLineChars="150"/>
        <w:rPr>
          <w:rFonts w:ascii="宋体" w:hAnsi="宋体" w:cs="宋体"/>
          <w:b w:val="0"/>
          <w:bCs w:val="0"/>
          <w:color w:val="000000" w:themeColor="text1"/>
          <w:kern w:val="0"/>
          <w:lang w:val="zh-CN" w:bidi="zh-CN"/>
        </w:rPr>
      </w:pPr>
      <w:bookmarkStart w:id="20" w:name="_Toc31688"/>
      <w:r>
        <w:rPr>
          <w:rFonts w:hint="eastAsia" w:ascii="宋体" w:hAnsi="宋体" w:cs="宋体"/>
          <w:b w:val="0"/>
          <w:bCs w:val="0"/>
          <w:color w:val="000000" w:themeColor="text1"/>
          <w:kern w:val="0"/>
          <w:lang w:val="zh-CN" w:bidi="zh-CN"/>
        </w:rPr>
        <w:t>2019年度</w:t>
      </w:r>
      <w:r>
        <w:rPr>
          <w:rFonts w:ascii="宋体" w:hAnsi="宋体" w:cs="宋体"/>
          <w:b w:val="0"/>
          <w:bCs w:val="0"/>
          <w:color w:val="000000" w:themeColor="text1"/>
          <w:kern w:val="0"/>
          <w:lang w:val="zh-CN" w:bidi="zh-CN"/>
        </w:rPr>
        <w:t>部门整体支出绩效</w:t>
      </w:r>
      <w:r>
        <w:rPr>
          <w:rFonts w:hint="eastAsia" w:ascii="宋体" w:hAnsi="宋体" w:cs="宋体"/>
          <w:b w:val="0"/>
          <w:bCs w:val="0"/>
          <w:color w:val="000000" w:themeColor="text1"/>
          <w:kern w:val="0"/>
          <w:lang w:val="zh-CN" w:bidi="zh-CN"/>
        </w:rPr>
        <w:t>自</w:t>
      </w:r>
      <w:r>
        <w:rPr>
          <w:rFonts w:ascii="宋体" w:hAnsi="宋体" w:cs="宋体"/>
          <w:b w:val="0"/>
          <w:bCs w:val="0"/>
          <w:color w:val="000000" w:themeColor="text1"/>
          <w:kern w:val="0"/>
          <w:lang w:val="zh-CN" w:bidi="zh-CN"/>
        </w:rPr>
        <w:t>评表</w:t>
      </w:r>
      <w:bookmarkEnd w:id="20"/>
    </w:p>
    <w:tbl>
      <w:tblPr>
        <w:tblStyle w:val="11"/>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715"/>
        <w:gridCol w:w="254"/>
        <w:gridCol w:w="16"/>
        <w:gridCol w:w="2111"/>
        <w:gridCol w:w="56"/>
        <w:gridCol w:w="83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部门名称</w:t>
            </w:r>
          </w:p>
        </w:tc>
        <w:tc>
          <w:tcPr>
            <w:tcW w:w="4360"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长沙市望城区市政设施维护中心　</w:t>
            </w:r>
          </w:p>
        </w:tc>
        <w:tc>
          <w:tcPr>
            <w:tcW w:w="212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下属单位个数</w:t>
            </w:r>
          </w:p>
        </w:tc>
        <w:tc>
          <w:tcPr>
            <w:tcW w:w="88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　项   目</w:t>
            </w:r>
          </w:p>
        </w:tc>
        <w:tc>
          <w:tcPr>
            <w:tcW w:w="221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全年预算数</w:t>
            </w:r>
          </w:p>
        </w:tc>
        <w:tc>
          <w:tcPr>
            <w:tcW w:w="216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全年执行数</w:t>
            </w:r>
          </w:p>
        </w:tc>
        <w:tc>
          <w:tcPr>
            <w:tcW w:w="831"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themeColor="text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资</w:t>
            </w:r>
          </w:p>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金</w:t>
            </w:r>
          </w:p>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来</w:t>
            </w:r>
          </w:p>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源</w:t>
            </w:r>
          </w:p>
          <w:p>
            <w:pPr>
              <w:spacing w:line="250" w:lineRule="exact"/>
              <w:jc w:val="center"/>
              <w:rPr>
                <w:rFonts w:asciiTheme="minorEastAsia" w:hAnsiTheme="minorEastAsia" w:eastAsiaTheme="minorEastAsia" w:cstheme="minorEastAsia"/>
                <w:color w:val="000000" w:themeColor="text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合计</w:t>
            </w:r>
          </w:p>
        </w:tc>
        <w:tc>
          <w:tcPr>
            <w:tcW w:w="221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908</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010</w:t>
            </w:r>
            <w:r>
              <w:rPr>
                <w:rFonts w:asciiTheme="minorEastAsia" w:hAnsiTheme="minorEastAsia" w:eastAsiaTheme="minorEastAsia" w:cstheme="minorEastAsia"/>
                <w:color w:val="000000" w:themeColor="text1"/>
                <w:sz w:val="21"/>
                <w:szCs w:val="21"/>
              </w:rPr>
              <w:t>.00</w:t>
            </w:r>
          </w:p>
        </w:tc>
        <w:tc>
          <w:tcPr>
            <w:tcW w:w="216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33</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966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016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26</w:t>
            </w:r>
          </w:p>
        </w:tc>
        <w:tc>
          <w:tcPr>
            <w:tcW w:w="831"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491.69</w:t>
            </w:r>
            <w:r>
              <w:rPr>
                <w:rFonts w:asciiTheme="minorEastAsia" w:hAnsiTheme="minorEastAsia" w:eastAsiaTheme="minorEastAsia" w:cstheme="minorEastAsia"/>
                <w:color w:val="000000" w:themeColor="text1"/>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themeColor="text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（1）财政拨款</w:t>
            </w:r>
          </w:p>
        </w:tc>
        <w:tc>
          <w:tcPr>
            <w:tcW w:w="221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908</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010</w:t>
            </w:r>
            <w:r>
              <w:rPr>
                <w:rFonts w:asciiTheme="minorEastAsia" w:hAnsiTheme="minorEastAsia" w:eastAsiaTheme="minorEastAsia" w:cstheme="minorEastAsia"/>
                <w:color w:val="000000" w:themeColor="text1"/>
                <w:sz w:val="21"/>
                <w:szCs w:val="21"/>
              </w:rPr>
              <w:t>.00</w:t>
            </w:r>
          </w:p>
        </w:tc>
        <w:tc>
          <w:tcPr>
            <w:tcW w:w="216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33</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966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016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26</w:t>
            </w:r>
          </w:p>
        </w:tc>
        <w:tc>
          <w:tcPr>
            <w:tcW w:w="831"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491.69</w:t>
            </w:r>
            <w:r>
              <w:rPr>
                <w:rFonts w:asciiTheme="minorEastAsia" w:hAnsiTheme="minorEastAsia" w:eastAsiaTheme="minorEastAsia" w:cstheme="minorEastAsia"/>
                <w:color w:val="000000" w:themeColor="text1"/>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37"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themeColor="text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（2）其他资金</w:t>
            </w:r>
          </w:p>
        </w:tc>
        <w:tc>
          <w:tcPr>
            <w:tcW w:w="221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0</w:t>
            </w:r>
            <w:r>
              <w:rPr>
                <w:rFonts w:asciiTheme="minorEastAsia" w:hAnsiTheme="minorEastAsia" w:eastAsiaTheme="minorEastAsia" w:cstheme="minorEastAsia"/>
                <w:color w:val="000000" w:themeColor="text1"/>
                <w:sz w:val="21"/>
                <w:szCs w:val="21"/>
              </w:rPr>
              <w:t>.00</w:t>
            </w:r>
          </w:p>
        </w:tc>
        <w:tc>
          <w:tcPr>
            <w:tcW w:w="216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0.00</w:t>
            </w:r>
          </w:p>
        </w:tc>
        <w:tc>
          <w:tcPr>
            <w:tcW w:w="831"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宋体" w:hAnsi="宋体" w:eastAsia="宋体" w:cs="宋体"/>
                <w:color w:val="000000" w:themeColor="text1"/>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themeColor="text1"/>
                <w:szCs w:val="21"/>
              </w:rPr>
            </w:pPr>
          </w:p>
        </w:tc>
        <w:tc>
          <w:tcPr>
            <w:tcW w:w="479"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资</w:t>
            </w:r>
          </w:p>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金</w:t>
            </w:r>
          </w:p>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结</w:t>
            </w:r>
          </w:p>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构</w:t>
            </w:r>
          </w:p>
          <w:p>
            <w:pPr>
              <w:spacing w:line="250" w:lineRule="exact"/>
              <w:jc w:val="center"/>
              <w:rPr>
                <w:rFonts w:asciiTheme="minorEastAsia" w:hAnsiTheme="minorEastAsia" w:eastAsiaTheme="minorEastAsia" w:cstheme="minorEastAsia"/>
                <w:color w:val="000000" w:themeColor="text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合计</w:t>
            </w:r>
          </w:p>
        </w:tc>
        <w:tc>
          <w:tcPr>
            <w:tcW w:w="221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908</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010</w:t>
            </w:r>
            <w:r>
              <w:rPr>
                <w:rFonts w:asciiTheme="minorEastAsia" w:hAnsiTheme="minorEastAsia" w:eastAsiaTheme="minorEastAsia" w:cstheme="minorEastAsia"/>
                <w:color w:val="000000" w:themeColor="text1"/>
                <w:sz w:val="21"/>
                <w:szCs w:val="21"/>
              </w:rPr>
              <w:t>.00</w:t>
            </w:r>
          </w:p>
        </w:tc>
        <w:tc>
          <w:tcPr>
            <w:tcW w:w="216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33</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966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016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26</w:t>
            </w:r>
          </w:p>
        </w:tc>
        <w:tc>
          <w:tcPr>
            <w:tcW w:w="831" w:type="dxa"/>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491.69</w:t>
            </w:r>
            <w:r>
              <w:rPr>
                <w:rFonts w:asciiTheme="minorEastAsia" w:hAnsiTheme="minorEastAsia" w:eastAsiaTheme="minorEastAsia" w:cstheme="minorEastAsia"/>
                <w:color w:val="000000" w:themeColor="text1"/>
                <w:sz w:val="21"/>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themeColor="text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themeColor="text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（1）基本支出</w:t>
            </w:r>
          </w:p>
        </w:tc>
        <w:tc>
          <w:tcPr>
            <w:tcW w:w="221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5</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228</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010</w:t>
            </w:r>
            <w:r>
              <w:rPr>
                <w:rFonts w:asciiTheme="minorEastAsia" w:hAnsiTheme="minorEastAsia" w:eastAsiaTheme="minorEastAsia" w:cstheme="minorEastAsia"/>
                <w:color w:val="000000" w:themeColor="text1"/>
                <w:sz w:val="21"/>
                <w:szCs w:val="21"/>
              </w:rPr>
              <w:t>.00</w:t>
            </w:r>
          </w:p>
        </w:tc>
        <w:tc>
          <w:tcPr>
            <w:tcW w:w="216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5</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556</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912</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89</w:t>
            </w:r>
          </w:p>
        </w:tc>
        <w:tc>
          <w:tcPr>
            <w:tcW w:w="831" w:type="dxa"/>
            <w:tcBorders>
              <w:tl2br w:val="nil"/>
              <w:tr2bl w:val="nil"/>
            </w:tcBorders>
            <w:tcMar>
              <w:top w:w="15" w:type="dxa"/>
              <w:left w:w="15" w:type="dxa"/>
              <w:bottom w:w="0" w:type="dxa"/>
              <w:right w:w="15" w:type="dxa"/>
            </w:tcMar>
            <w:vAlign w:val="center"/>
          </w:tcPr>
          <w:p>
            <w:pPr>
              <w:spacing w:line="250" w:lineRule="exact"/>
              <w:jc w:val="both"/>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106.29%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tcBorders>
              <w:tl2br w:val="nil"/>
              <w:tr2bl w:val="nil"/>
            </w:tcBorders>
            <w:vAlign w:val="center"/>
          </w:tcPr>
          <w:p>
            <w:pPr>
              <w:spacing w:line="250" w:lineRule="exact"/>
              <w:rPr>
                <w:rFonts w:asciiTheme="minorEastAsia" w:hAnsiTheme="minorEastAsia" w:eastAsiaTheme="minorEastAsia" w:cstheme="minorEastAsia"/>
                <w:color w:val="000000" w:themeColor="text1"/>
                <w:szCs w:val="21"/>
              </w:rPr>
            </w:pPr>
          </w:p>
        </w:tc>
        <w:tc>
          <w:tcPr>
            <w:tcW w:w="479"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asciiTheme="minorEastAsia" w:hAnsiTheme="minorEastAsia" w:eastAsiaTheme="minorEastAsia" w:cstheme="minorEastAsia"/>
                <w:color w:val="000000" w:themeColor="text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（2）项目支出</w:t>
            </w:r>
          </w:p>
        </w:tc>
        <w:tc>
          <w:tcPr>
            <w:tcW w:w="2216" w:type="dxa"/>
            <w:gridSpan w:val="4"/>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1</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68</w:t>
            </w:r>
            <w:r>
              <w:rPr>
                <w:rFonts w:asciiTheme="minorEastAsia" w:hAnsiTheme="minorEastAsia" w:eastAsiaTheme="minorEastAsia" w:cstheme="minorEastAsia"/>
                <w:color w:val="000000" w:themeColor="text1"/>
                <w:sz w:val="21"/>
                <w:szCs w:val="21"/>
              </w:rPr>
              <w:t>0,000.00</w:t>
            </w:r>
          </w:p>
        </w:tc>
        <w:tc>
          <w:tcPr>
            <w:tcW w:w="2167" w:type="dxa"/>
            <w:gridSpan w:val="2"/>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28</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409</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073</w:t>
            </w:r>
            <w:r>
              <w:rPr>
                <w:rFonts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21"/>
                <w:szCs w:val="21"/>
              </w:rPr>
              <w:t>37</w:t>
            </w:r>
          </w:p>
        </w:tc>
        <w:tc>
          <w:tcPr>
            <w:tcW w:w="831" w:type="dxa"/>
            <w:tcBorders>
              <w:tl2br w:val="nil"/>
              <w:tr2bl w:val="nil"/>
            </w:tcBorders>
            <w:tcMar>
              <w:top w:w="15" w:type="dxa"/>
              <w:left w:w="15" w:type="dxa"/>
              <w:bottom w:w="0" w:type="dxa"/>
              <w:right w:w="15" w:type="dxa"/>
            </w:tcMar>
            <w:vAlign w:val="center"/>
          </w:tcPr>
          <w:p>
            <w:pPr>
              <w:spacing w:line="250" w:lineRule="exact"/>
              <w:jc w:val="both"/>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18"/>
                <w:szCs w:val="18"/>
              </w:rPr>
              <w:t>1062.29</w:t>
            </w:r>
            <w:r>
              <w:rPr>
                <w:rFonts w:asciiTheme="minorEastAsia" w:hAnsiTheme="minorEastAsia" w:eastAsiaTheme="minorEastAsia" w:cstheme="minorEastAsia"/>
                <w:color w:val="000000" w:themeColor="text1"/>
                <w:sz w:val="18"/>
                <w:szCs w:val="18"/>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年度总</w:t>
            </w:r>
          </w:p>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体目标</w:t>
            </w: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color w:val="000000" w:themeColor="text1"/>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asciiTheme="minorEastAsia" w:hAnsiTheme="minorEastAsia" w:eastAsiaTheme="minorEastAsia" w:cstheme="minorEastAsia"/>
                <w:color w:val="000000" w:themeColor="text1"/>
                <w:sz w:val="18"/>
                <w:szCs w:val="18"/>
              </w:rPr>
            </w:pPr>
          </w:p>
        </w:tc>
        <w:tc>
          <w:tcPr>
            <w:tcW w:w="3983" w:type="dxa"/>
            <w:gridSpan w:val="8"/>
            <w:tcBorders>
              <w:tl2br w:val="nil"/>
              <w:tr2bl w:val="nil"/>
            </w:tcBorders>
            <w:tcMar>
              <w:top w:w="15" w:type="dxa"/>
              <w:left w:w="15" w:type="dxa"/>
              <w:bottom w:w="0" w:type="dxa"/>
              <w:right w:w="15" w:type="dxa"/>
            </w:tcMar>
            <w:vAlign w:val="center"/>
          </w:tcPr>
          <w:p>
            <w:pPr>
              <w:spacing w:line="250" w:lineRule="exact"/>
              <w:jc w:val="center"/>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21"/>
                <w:szCs w:val="21"/>
              </w:rPr>
              <w:t>1、服务城市发展，市政设施维护管养工作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600" w:lineRule="exact"/>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18"/>
                <w:szCs w:val="18"/>
              </w:rPr>
              <w:t>2、</w:t>
            </w:r>
            <w:r>
              <w:rPr>
                <w:rFonts w:hint="eastAsia" w:asciiTheme="minorEastAsia" w:hAnsiTheme="minorEastAsia" w:eastAsiaTheme="minorEastAsia" w:cstheme="minorEastAsia"/>
                <w:color w:val="000000" w:themeColor="text1"/>
                <w:sz w:val="21"/>
                <w:szCs w:val="21"/>
              </w:rPr>
              <w:t>提质改造建设任务完成情况</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600" w:lineRule="exact"/>
              <w:rPr>
                <w:rFonts w:asciiTheme="minorEastAsia" w:hAnsiTheme="minorEastAsia" w:eastAsiaTheme="minorEastAsia" w:cstheme="minorEastAsia"/>
                <w:color w:val="000000" w:themeColor="text1"/>
                <w:sz w:val="21"/>
                <w:szCs w:val="21"/>
              </w:rPr>
            </w:pPr>
            <w:r>
              <w:rPr>
                <w:rFonts w:hint="eastAsia" w:asciiTheme="minorEastAsia" w:hAnsiTheme="minorEastAsia" w:eastAsiaTheme="minorEastAsia" w:cstheme="minorEastAsia"/>
                <w:color w:val="000000" w:themeColor="text1"/>
                <w:sz w:val="18"/>
                <w:szCs w:val="18"/>
              </w:rPr>
              <w:t>3、</w:t>
            </w:r>
            <w:r>
              <w:rPr>
                <w:rFonts w:hint="eastAsia" w:asciiTheme="minorEastAsia" w:hAnsiTheme="minorEastAsia" w:eastAsiaTheme="minorEastAsia" w:cstheme="minorEastAsia"/>
                <w:color w:val="000000" w:themeColor="text1"/>
                <w:sz w:val="21"/>
                <w:szCs w:val="21"/>
              </w:rPr>
              <w:t>政务公开工作</w:t>
            </w:r>
          </w:p>
          <w:p>
            <w:pPr>
              <w:pStyle w:val="17"/>
              <w:numPr>
                <w:ilvl w:val="0"/>
                <w:numId w:val="1"/>
              </w:numPr>
              <w:spacing w:line="560" w:lineRule="exact"/>
              <w:ind w:firstLineChars="0"/>
              <w:rPr>
                <w:rFonts w:ascii="仿宋" w:hAnsi="仿宋" w:eastAsia="仿宋" w:cs="仿宋"/>
                <w:sz w:val="32"/>
                <w:szCs w:val="32"/>
              </w:rPr>
            </w:pPr>
            <w:r>
              <w:rPr>
                <w:rFonts w:hint="eastAsia" w:asciiTheme="minorEastAsia" w:hAnsiTheme="minorEastAsia" w:eastAsiaTheme="minorEastAsia" w:cstheme="minorEastAsia"/>
                <w:color w:val="000000" w:themeColor="text1"/>
                <w:sz w:val="21"/>
                <w:szCs w:val="21"/>
              </w:rPr>
              <w:t>城市管理相关工作任务</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600" w:lineRule="exact"/>
              <w:rPr>
                <w:rFonts w:asciiTheme="minorEastAsia" w:hAnsiTheme="minorEastAsia" w:eastAsiaTheme="minorEastAsia" w:cstheme="minorEastAsia"/>
                <w:color w:val="000000" w:themeColor="text1"/>
                <w:sz w:val="21"/>
                <w:szCs w:val="21"/>
              </w:rPr>
            </w:pPr>
          </w:p>
          <w:p>
            <w:pPr>
              <w:spacing w:line="250" w:lineRule="exact"/>
              <w:rPr>
                <w:rFonts w:asciiTheme="minorEastAsia" w:hAnsiTheme="minorEastAsia" w:eastAsiaTheme="minorEastAsia" w:cstheme="minorEastAsia"/>
                <w:color w:val="000000" w:themeColor="text1"/>
                <w:sz w:val="18"/>
                <w:szCs w:val="18"/>
              </w:rPr>
            </w:pPr>
          </w:p>
        </w:tc>
        <w:tc>
          <w:tcPr>
            <w:tcW w:w="3983" w:type="dxa"/>
            <w:gridSpan w:val="6"/>
            <w:tcBorders>
              <w:tl2br w:val="nil"/>
              <w:tr2bl w:val="nil"/>
            </w:tcBorders>
            <w:tcMar>
              <w:top w:w="15" w:type="dxa"/>
              <w:left w:w="15" w:type="dxa"/>
              <w:bottom w:w="0" w:type="dxa"/>
              <w:right w:w="15" w:type="dxa"/>
            </w:tcMar>
            <w:vAlign w:val="center"/>
          </w:tcPr>
          <w:p>
            <w:pPr>
              <w:pStyle w:val="17"/>
              <w:numPr>
                <w:ilvl w:val="0"/>
                <w:numId w:val="2"/>
              </w:numPr>
              <w:spacing w:after="0" w:line="240" w:lineRule="atLeast"/>
              <w:ind w:left="357" w:firstLine="0" w:firstLineChars="0"/>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服务城市发展，市政设施维护管养工作</w:t>
            </w:r>
            <w:r>
              <w:rPr>
                <w:rFonts w:hint="eastAsia" w:asciiTheme="minorEastAsia" w:hAnsiTheme="minorEastAsia" w:eastAsiaTheme="minorEastAsia" w:cstheme="minorEastAsia"/>
                <w:color w:val="000000" w:themeColor="text1"/>
                <w:sz w:val="21"/>
                <w:szCs w:val="21"/>
              </w:rPr>
              <w:t>：</w:t>
            </w:r>
            <w:r>
              <w:rPr>
                <w:rFonts w:hint="eastAsia" w:asciiTheme="minorEastAsia" w:hAnsiTheme="minorEastAsia" w:eastAsiaTheme="minorEastAsia" w:cstheme="minorEastAsia"/>
                <w:color w:val="000000" w:themeColor="text1"/>
                <w:sz w:val="18"/>
                <w:szCs w:val="18"/>
              </w:rPr>
              <w:t>全年共计铺设油砂路面11800平方米、水泥路面1200平方米、桥面维护5057平方米；麻石板、盲道板11000余平方米，路沿石、树围石3000米，交通护栏639米；更换井座井盖520余套、泄水桥1154套。2、提质改造建设任务完成情况：对高裕南路、中路、银星路、马桥河路、新塘路、高塘岭西街、取忠路、宝路、工农西路等道路的人行道、盲道进行了全面提质改造。实施了工农西路、工农中路、连江路、郭亮北路、高裕路等雨污分流改造工程；实施了刘家塘重建地、燕坡重建地、马桥河排口等马桥河水体综合治理截流工程；实施了旺旺中路、莲湖路、望府路等路段的污水管道改造工程。3、政务公开工作：全年，审批办理“占用、挖掘城市道路”行政许可208件，收取城市道路挖掘占用费用近25.38万元，督促、纠正各种违规占道、不规范施工行为120余处。4、城市管理相关工作任务：接收12345市民服务热线问题305条，接收区应急联动信息710条，已全部处理完毕，无延迟和二次交办事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7"/>
            <w:tcBorders>
              <w:tl2br w:val="nil"/>
              <w:tr2bl w:val="nil"/>
            </w:tcBorders>
            <w:vAlign w:val="center"/>
          </w:tcPr>
          <w:p>
            <w:pPr>
              <w:spacing w:line="25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一级指标</w:t>
            </w:r>
          </w:p>
        </w:tc>
        <w:tc>
          <w:tcPr>
            <w:tcW w:w="503" w:type="dxa"/>
            <w:tcBorders>
              <w:tl2br w:val="nil"/>
              <w:tr2bl w:val="nil"/>
            </w:tcBorders>
            <w:vAlign w:val="center"/>
          </w:tcPr>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分值</w:t>
            </w:r>
          </w:p>
        </w:tc>
        <w:tc>
          <w:tcPr>
            <w:tcW w:w="503" w:type="dxa"/>
            <w:gridSpan w:val="2"/>
            <w:tcBorders>
              <w:tl2br w:val="nil"/>
              <w:tr2bl w:val="nil"/>
            </w:tcBorders>
            <w:vAlign w:val="center"/>
          </w:tcPr>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二级</w:t>
            </w:r>
          </w:p>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指标</w:t>
            </w:r>
          </w:p>
        </w:tc>
        <w:tc>
          <w:tcPr>
            <w:tcW w:w="503" w:type="dxa"/>
            <w:gridSpan w:val="2"/>
            <w:tcBorders>
              <w:tl2br w:val="nil"/>
              <w:tr2bl w:val="nil"/>
            </w:tcBorders>
            <w:vAlign w:val="center"/>
          </w:tcPr>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分值</w:t>
            </w:r>
          </w:p>
        </w:tc>
        <w:tc>
          <w:tcPr>
            <w:tcW w:w="783" w:type="dxa"/>
            <w:gridSpan w:val="2"/>
            <w:tcBorders>
              <w:tl2br w:val="nil"/>
              <w:tr2bl w:val="nil"/>
            </w:tcBorders>
            <w:vAlign w:val="center"/>
          </w:tcPr>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三级</w:t>
            </w:r>
          </w:p>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指标</w:t>
            </w:r>
          </w:p>
        </w:tc>
        <w:tc>
          <w:tcPr>
            <w:tcW w:w="517" w:type="dxa"/>
            <w:tcBorders>
              <w:tl2br w:val="nil"/>
              <w:tr2bl w:val="nil"/>
            </w:tcBorders>
            <w:vAlign w:val="center"/>
          </w:tcPr>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分值</w:t>
            </w:r>
          </w:p>
        </w:tc>
        <w:tc>
          <w:tcPr>
            <w:tcW w:w="2483" w:type="dxa"/>
            <w:gridSpan w:val="3"/>
            <w:tcBorders>
              <w:tl2br w:val="nil"/>
              <w:tr2bl w:val="nil"/>
            </w:tcBorders>
            <w:vAlign w:val="center"/>
          </w:tcPr>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评价标准</w:t>
            </w:r>
          </w:p>
        </w:tc>
        <w:tc>
          <w:tcPr>
            <w:tcW w:w="2437" w:type="dxa"/>
            <w:gridSpan w:val="4"/>
            <w:tcBorders>
              <w:tl2br w:val="nil"/>
              <w:tr2bl w:val="nil"/>
            </w:tcBorders>
            <w:vAlign w:val="center"/>
          </w:tcPr>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指标说明</w:t>
            </w:r>
          </w:p>
        </w:tc>
        <w:tc>
          <w:tcPr>
            <w:tcW w:w="831" w:type="dxa"/>
            <w:tcBorders>
              <w:tl2br w:val="nil"/>
              <w:tr2bl w:val="nil"/>
            </w:tcBorders>
            <w:vAlign w:val="center"/>
          </w:tcPr>
          <w:p>
            <w:pPr>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投入</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预算配置</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在职人员控制率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以100%为标准。在职人员控制率≦100%，计5分；每超过一个百分点扣0.5分，扣完为止。</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编制数：机构编制部门核定批复的部门（单位）的人员编制数。</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“三公经费”变动率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“三公经费”变动率≦0,计5分；“三公经费”＞0，每超过一个百分点扣0.8分，扣完为止。</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“三公经费”变动率=[（本年度“三公经费”预算数-上年度“三公经费”预算数）/上年度“三公经费”预算数]×100%</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过</w:t>
            </w:r>
          </w:p>
          <w:p>
            <w:pPr>
              <w:spacing w:line="240" w:lineRule="exact"/>
              <w:jc w:val="center"/>
              <w:rPr>
                <w:rFonts w:asciiTheme="minorEastAsia" w:hAnsiTheme="minorEastAsia" w:eastAsiaTheme="minorEastAsia" w:cstheme="minorEastAsia"/>
                <w:color w:val="000000" w:themeColor="text1"/>
                <w:sz w:val="18"/>
                <w:szCs w:val="18"/>
              </w:rPr>
            </w:pPr>
          </w:p>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程</w:t>
            </w:r>
          </w:p>
        </w:tc>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60</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预算执行</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20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预算完成率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100%计满分，每低于5%扣2分，扣完为止。</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预算完成率=（上年结转+年初预算+本年追加预算-年末结余）/（上年结转+年初预算+本年追加预算）×100%。</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预算控制率=0，计5分；0-10%（含），计4分；10-20%（含），计3分；20-30%（含），计2分；大于30%不得分。</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预算控制率=（本年追加预算/年初预算）×100%。</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新建楼堂馆所面积控制率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100%以下（含）计满分，每超出5%扣2分，扣完为止。没有楼堂馆所项目的部门按满分计算。</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楼堂馆所面积控制率=实际建设面积/批准建设面积×100% 。</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该指标以当年完工的新建楼堂馆所为评价内容。</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新建楼堂馆所投资概算控制率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100%以下（含）计满分，每超出5%扣2分，扣完为止。</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楼堂馆所投资预算控制率=实际投资金额/批准投资金额×100% 。</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该指标以当年完工的新建楼堂馆所为评价内容。</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预算管理</w:t>
            </w:r>
          </w:p>
        </w:tc>
        <w:tc>
          <w:tcPr>
            <w:tcW w:w="503" w:type="dxa"/>
            <w:gridSpan w:val="2"/>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40</w:t>
            </w: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公用经费控制率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100%以下（含）计满分，每超出1%扣1分，扣完为止。</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公用经费控制率=（实际支出公用经费总额/预算安排公用经费总额）×100%。</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公用经费支出是指部门基本支出中的一般商品和服务支出。</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“三公经费”控制率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7</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100%以下（含）计满分，每超出1%扣1分，扣完为止。</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“三公经费”控制率=（“三公经费”实际支出数/“三公经费”预算安排数）×100%。</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政府采购执行率</w:t>
            </w:r>
          </w:p>
        </w:tc>
        <w:tc>
          <w:tcPr>
            <w:tcW w:w="517"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w:t>
            </w:r>
          </w:p>
        </w:tc>
        <w:tc>
          <w:tcPr>
            <w:tcW w:w="2483" w:type="dxa"/>
            <w:gridSpan w:val="3"/>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100%计满分，每超过（降低）5%扣2分。扣完为止。</w:t>
            </w:r>
          </w:p>
        </w:tc>
        <w:tc>
          <w:tcPr>
            <w:tcW w:w="2437" w:type="dxa"/>
            <w:gridSpan w:val="4"/>
            <w:tcBorders>
              <w:tl2br w:val="nil"/>
              <w:tr2bl w:val="nil"/>
            </w:tcBorders>
            <w:vAlign w:val="center"/>
          </w:tcPr>
          <w:p>
            <w:pPr>
              <w:spacing w:line="24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政府采购执行率=（实际政府采购金额/政府采购预算数）×100%</w:t>
            </w:r>
          </w:p>
        </w:tc>
        <w:tc>
          <w:tcPr>
            <w:tcW w:w="831" w:type="dxa"/>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shd w:val="clear" w:color="auto" w:fill="FFFFFF"/>
              </w:rPr>
              <w:t>0</w:t>
            </w:r>
            <w:r>
              <w:rPr>
                <w:rFonts w:hint="eastAsia" w:asciiTheme="minorEastAsia" w:hAnsiTheme="minorEastAsia" w:eastAsiaTheme="minorEastAsia" w:cstheme="minorEastAsia"/>
                <w:color w:val="000000" w:themeColor="text1"/>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color w:val="000000" w:themeColor="text1"/>
                <w:sz w:val="18"/>
                <w:szCs w:val="18"/>
                <w:shd w:val="clear" w:color="auto" w:fill="FFFFFF"/>
              </w:rPr>
              <w:instrText xml:space="preserve">Addin PF9</w:instrText>
            </w:r>
            <w:r>
              <w:rPr>
                <w:rFonts w:hint="eastAsia" w:asciiTheme="minorEastAsia" w:hAnsiTheme="minorEastAsia" w:eastAsiaTheme="minorEastAsia" w:cstheme="minorEastAsia"/>
                <w:color w:val="000000" w:themeColor="text1"/>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管理制度健全性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w:t>
            </w:r>
          </w:p>
        </w:tc>
        <w:tc>
          <w:tcPr>
            <w:tcW w:w="2483" w:type="dxa"/>
            <w:gridSpan w:val="3"/>
            <w:tcBorders>
              <w:tl2br w:val="nil"/>
              <w:tr2bl w:val="nil"/>
            </w:tcBorders>
            <w:vAlign w:val="center"/>
          </w:tcPr>
          <w:p>
            <w:pPr>
              <w:spacing w:line="26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①有内部财务管理制度、会计核算制度等管理制度，2分；</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②有本部门厉行节约制度,2分；</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③相关管理制度合法、合规、完整，2分；④相关管理制度得到有效执行，2分。</w:t>
            </w:r>
          </w:p>
        </w:tc>
        <w:tc>
          <w:tcPr>
            <w:tcW w:w="2437" w:type="dxa"/>
            <w:gridSpan w:val="4"/>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　</w:t>
            </w:r>
          </w:p>
        </w:tc>
        <w:tc>
          <w:tcPr>
            <w:tcW w:w="831"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过</w:t>
            </w:r>
          </w:p>
          <w:p>
            <w:pPr>
              <w:spacing w:line="240" w:lineRule="exact"/>
              <w:jc w:val="center"/>
              <w:rPr>
                <w:rFonts w:asciiTheme="minorEastAsia" w:hAnsiTheme="minorEastAsia" w:eastAsiaTheme="minorEastAsia" w:cstheme="minorEastAsia"/>
                <w:color w:val="000000" w:themeColor="text1"/>
                <w:sz w:val="18"/>
                <w:szCs w:val="18"/>
              </w:rPr>
            </w:pPr>
          </w:p>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程</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60</w:t>
            </w:r>
          </w:p>
        </w:tc>
        <w:tc>
          <w:tcPr>
            <w:tcW w:w="503" w:type="dxa"/>
            <w:gridSpan w:val="2"/>
            <w:vMerge w:val="restart"/>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预算管理</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40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资金使用合规性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w:t>
            </w:r>
          </w:p>
        </w:tc>
        <w:tc>
          <w:tcPr>
            <w:tcW w:w="2483" w:type="dxa"/>
            <w:gridSpan w:val="3"/>
            <w:tcBorders>
              <w:tl2br w:val="nil"/>
              <w:tr2bl w:val="nil"/>
            </w:tcBorders>
            <w:vAlign w:val="center"/>
          </w:tcPr>
          <w:p>
            <w:pPr>
              <w:spacing w:line="26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以上情况每出现一例不符合要求的扣1分，扣完为止。</w:t>
            </w:r>
          </w:p>
        </w:tc>
        <w:tc>
          <w:tcPr>
            <w:tcW w:w="2437" w:type="dxa"/>
            <w:gridSpan w:val="4"/>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　</w:t>
            </w:r>
          </w:p>
        </w:tc>
        <w:tc>
          <w:tcPr>
            <w:tcW w:w="831"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预决算信息公开性</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c>
          <w:tcPr>
            <w:tcW w:w="2483" w:type="dxa"/>
            <w:gridSpan w:val="3"/>
            <w:tcBorders>
              <w:tl2br w:val="nil"/>
              <w:tr2bl w:val="nil"/>
            </w:tcBorders>
            <w:vAlign w:val="center"/>
          </w:tcPr>
          <w:p>
            <w:pPr>
              <w:spacing w:line="26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437" w:type="dxa"/>
            <w:gridSpan w:val="4"/>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预决算信息是指与部门预算、执行、决算、监督、绩效等管理相关的信息。</w:t>
            </w:r>
          </w:p>
        </w:tc>
        <w:tc>
          <w:tcPr>
            <w:tcW w:w="831"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产出及效率</w:t>
            </w:r>
          </w:p>
        </w:tc>
        <w:tc>
          <w:tcPr>
            <w:tcW w:w="503" w:type="dxa"/>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30</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职责履行</w:t>
            </w:r>
          </w:p>
        </w:tc>
        <w:tc>
          <w:tcPr>
            <w:tcW w:w="50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重点工作实际完成率</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w:t>
            </w:r>
          </w:p>
        </w:tc>
        <w:tc>
          <w:tcPr>
            <w:tcW w:w="2483" w:type="dxa"/>
            <w:gridSpan w:val="3"/>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根据履职情况，结合绩效目标和项目性质，对重点工作计划完成、产出质量、产出时效和有关成本控制情况评价，实现70%以上得4分，70%以下不得分。</w:t>
            </w:r>
          </w:p>
        </w:tc>
        <w:tc>
          <w:tcPr>
            <w:tcW w:w="2437" w:type="dxa"/>
            <w:gridSpan w:val="4"/>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　</w:t>
            </w:r>
          </w:p>
        </w:tc>
        <w:tc>
          <w:tcPr>
            <w:tcW w:w="831"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履职 效益</w:t>
            </w: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经济</w:t>
            </w:r>
          </w:p>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效益</w:t>
            </w:r>
          </w:p>
        </w:tc>
        <w:tc>
          <w:tcPr>
            <w:tcW w:w="517" w:type="dxa"/>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10</w:t>
            </w:r>
          </w:p>
        </w:tc>
        <w:tc>
          <w:tcPr>
            <w:tcW w:w="2483" w:type="dxa"/>
            <w:gridSpan w:val="3"/>
            <w:vMerge w:val="restart"/>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此两项指标为设置部门整体支出绩效评价指标时必须考虑的共性要素，可根据部门实际情况有选择的进行设置，并将其细化为相应的个性化指标。</w:t>
            </w:r>
          </w:p>
        </w:tc>
        <w:tc>
          <w:tcPr>
            <w:tcW w:w="2437" w:type="dxa"/>
            <w:gridSpan w:val="4"/>
            <w:vMerge w:val="restart"/>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831" w:type="dxa"/>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w:t>
            </w:r>
            <w:r>
              <w:rPr>
                <w:rFonts w:asciiTheme="minorEastAsia" w:hAnsiTheme="minorEastAsia" w:eastAsiaTheme="minorEastAsia" w:cstheme="minorEastAsia"/>
                <w:color w:val="000000" w:themeColor="text1"/>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社会</w:t>
            </w:r>
          </w:p>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效益</w:t>
            </w:r>
          </w:p>
        </w:tc>
        <w:tc>
          <w:tcPr>
            <w:tcW w:w="517"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2483" w:type="dxa"/>
            <w:gridSpan w:val="3"/>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2437" w:type="dxa"/>
            <w:gridSpan w:val="4"/>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831" w:type="dxa"/>
            <w:vMerge w:val="continue"/>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restart"/>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12</w:t>
            </w: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行政</w:t>
            </w:r>
          </w:p>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效能</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w:t>
            </w:r>
          </w:p>
        </w:tc>
        <w:tc>
          <w:tcPr>
            <w:tcW w:w="2483" w:type="dxa"/>
            <w:gridSpan w:val="3"/>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促进部门改进文风会风，加强经费及资产管理，推动网上办事，提高行政效率，降低行政成本效果较好的计6分；一般3分；无效果或者效果不明显0分。</w:t>
            </w:r>
          </w:p>
        </w:tc>
        <w:tc>
          <w:tcPr>
            <w:tcW w:w="2437" w:type="dxa"/>
            <w:gridSpan w:val="4"/>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根据部门自评材料评定。</w:t>
            </w:r>
          </w:p>
        </w:tc>
        <w:tc>
          <w:tcPr>
            <w:tcW w:w="831"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503" w:type="dxa"/>
            <w:gridSpan w:val="2"/>
            <w:vMerge w:val="continue"/>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p>
        </w:tc>
        <w:tc>
          <w:tcPr>
            <w:tcW w:w="783" w:type="dxa"/>
            <w:gridSpan w:val="2"/>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社会公众或服务对象满意度</w:t>
            </w:r>
          </w:p>
        </w:tc>
        <w:tc>
          <w:tcPr>
            <w:tcW w:w="517"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w:t>
            </w:r>
          </w:p>
        </w:tc>
        <w:tc>
          <w:tcPr>
            <w:tcW w:w="2483" w:type="dxa"/>
            <w:gridSpan w:val="3"/>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90%（含）以上计6分；</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80%（含）-90%，计4分；</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70%（含）-80%，计2分；</w:t>
            </w:r>
            <w:r>
              <w:rPr>
                <w:rFonts w:hint="eastAsia" w:asciiTheme="minorEastAsia" w:hAnsiTheme="minorEastAsia" w:eastAsiaTheme="minorEastAsia" w:cstheme="minorEastAsia"/>
                <w:color w:val="000000" w:themeColor="text1"/>
                <w:sz w:val="18"/>
                <w:szCs w:val="18"/>
              </w:rPr>
              <w:br w:type="textWrapping"/>
            </w:r>
            <w:r>
              <w:rPr>
                <w:rFonts w:hint="eastAsia" w:asciiTheme="minorEastAsia" w:hAnsiTheme="minorEastAsia" w:eastAsiaTheme="minorEastAsia" w:cstheme="minorEastAsia"/>
                <w:color w:val="000000" w:themeColor="text1"/>
                <w:sz w:val="18"/>
                <w:szCs w:val="18"/>
              </w:rPr>
              <w:t>低于70%计0分。</w:t>
            </w:r>
          </w:p>
        </w:tc>
        <w:tc>
          <w:tcPr>
            <w:tcW w:w="2437" w:type="dxa"/>
            <w:gridSpan w:val="4"/>
            <w:tcBorders>
              <w:tl2br w:val="nil"/>
              <w:tr2bl w:val="nil"/>
            </w:tcBorders>
            <w:vAlign w:val="center"/>
          </w:tcPr>
          <w:p>
            <w:pPr>
              <w:spacing w:line="280" w:lineRule="exact"/>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社会公众或服务对象是指部门（单位）履行职责而影响到的部门、群体或个人，一般采取社会调查的方式。</w:t>
            </w:r>
          </w:p>
        </w:tc>
        <w:tc>
          <w:tcPr>
            <w:tcW w:w="831" w:type="dxa"/>
            <w:tcBorders>
              <w:tl2br w:val="nil"/>
              <w:tr2bl w:val="nil"/>
            </w:tcBorders>
            <w:vAlign w:val="center"/>
          </w:tcPr>
          <w:p>
            <w:pPr>
              <w:spacing w:line="280" w:lineRule="exact"/>
              <w:jc w:val="center"/>
              <w:rPr>
                <w:rFonts w:asciiTheme="minorEastAsia" w:hAnsiTheme="minorEastAsia" w:eastAsiaTheme="minorEastAsia" w:cstheme="minorEastAsia"/>
                <w:color w:val="000000" w:themeColor="text1"/>
                <w:sz w:val="18"/>
                <w:szCs w:val="18"/>
              </w:rPr>
            </w:pPr>
            <w:r>
              <w:rPr>
                <w:rFonts w:hint="eastAsia" w:asciiTheme="minorEastAsia" w:hAnsiTheme="minorEastAsia" w:eastAsiaTheme="minorEastAsia" w:cstheme="minorEastAsia"/>
                <w:color w:val="000000" w:themeColor="text1"/>
                <w:sz w:val="18"/>
                <w:szCs w:val="18"/>
              </w:rPr>
              <w:t>6</w:t>
            </w:r>
            <w:r>
              <w:rPr>
                <w:rFonts w:hint="eastAsia" w:asciiTheme="minorEastAsia" w:hAnsiTheme="minorEastAsia" w:eastAsiaTheme="minorEastAsia" w:cstheme="minorEastAsia"/>
                <w:color w:val="000000" w:themeColor="text1"/>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color w:val="000000" w:themeColor="text1"/>
                <w:sz w:val="18"/>
                <w:szCs w:val="18"/>
                <w:shd w:val="clear" w:color="auto" w:fill="FFFFFF"/>
              </w:rPr>
              <w:instrText xml:space="preserve">Addin PF16</w:instrText>
            </w:r>
            <w:r>
              <w:rPr>
                <w:rFonts w:hint="eastAsia" w:asciiTheme="minorEastAsia" w:hAnsiTheme="minorEastAsia" w:eastAsiaTheme="minorEastAsia" w:cstheme="minorEastAsia"/>
                <w:color w:val="000000" w:themeColor="text1"/>
                <w:sz w:val="18"/>
                <w:szCs w:val="18"/>
                <w:shd w:val="clear" w:color="auto" w:fill="FFFFFF"/>
              </w:rPr>
              <w:fldChar w:fldCharType="end"/>
            </w:r>
          </w:p>
        </w:tc>
      </w:tr>
    </w:tbl>
    <w:p/>
    <w:p>
      <w:pPr>
        <w:rPr>
          <w:color w:val="000000" w:themeColor="text1"/>
        </w:rPr>
      </w:pPr>
    </w:p>
    <w:p>
      <w:pPr>
        <w:pStyle w:val="17"/>
        <w:spacing w:line="240" w:lineRule="atLeast"/>
        <w:ind w:left="360" w:firstLine="0" w:firstLineChars="0"/>
        <w:rPr>
          <w:rFonts w:ascii="仿宋_GB2312" w:hAnsi="仿宋_GB2312" w:eastAsia="仿宋_GB2312" w:cs="仿宋_GB2312"/>
          <w:sz w:val="32"/>
          <w:szCs w:val="32"/>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tLeast"/>
        <w:rPr>
          <w:rFonts w:ascii="仿宋_GB2312" w:hAnsi="仿宋_GB2312" w:eastAsia="仿宋_GB2312" w:cs="仿宋_GB2312"/>
          <w:sz w:val="32"/>
          <w:szCs w:val="32"/>
          <w:shd w:val="clear" w:color="auto" w:fill="FFFFFF"/>
        </w:rPr>
      </w:pPr>
    </w:p>
    <w:p>
      <w:pPr>
        <w:spacing w:line="220" w:lineRule="atLeast"/>
      </w:pPr>
    </w:p>
    <w:sectPr>
      <w:headerReference r:id="rId4" w:type="default"/>
      <w:footerReference r:id="rId5"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libri Light">
    <w:altName w:val="Calibri"/>
    <w:panose1 w:val="020F0302020204030204"/>
    <w:charset w:val="00"/>
    <w:family w:val="swiss"/>
    <w:pitch w:val="default"/>
    <w:sig w:usb0="00000000" w:usb1="00000000"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9347BE"/>
    <w:multiLevelType w:val="multilevel"/>
    <w:tmpl w:val="039347B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AFE48A6"/>
    <w:multiLevelType w:val="multilevel"/>
    <w:tmpl w:val="1AFE48A6"/>
    <w:lvl w:ilvl="0" w:tentative="0">
      <w:start w:val="4"/>
      <w:numFmt w:val="decimal"/>
      <w:lvlText w:val="%1、"/>
      <w:lvlJc w:val="left"/>
      <w:pPr>
        <w:ind w:left="360" w:hanging="360"/>
      </w:pPr>
      <w:rPr>
        <w:rFonts w:hint="default" w:asciiTheme="minorEastAsia" w:hAnsiTheme="minorEastAsia" w:eastAsiaTheme="minorEastAsia" w:cstheme="minorEastAsia"/>
        <w:color w:val="000000" w:themeColor="text1"/>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720"/>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54156"/>
    <w:rsid w:val="00057687"/>
    <w:rsid w:val="00082933"/>
    <w:rsid w:val="000B0C4A"/>
    <w:rsid w:val="001E1112"/>
    <w:rsid w:val="001E4EDF"/>
    <w:rsid w:val="001F58DF"/>
    <w:rsid w:val="002931DB"/>
    <w:rsid w:val="002F1C12"/>
    <w:rsid w:val="002F3407"/>
    <w:rsid w:val="00323B43"/>
    <w:rsid w:val="003612B9"/>
    <w:rsid w:val="003D37D8"/>
    <w:rsid w:val="00426133"/>
    <w:rsid w:val="004358AB"/>
    <w:rsid w:val="00436BE7"/>
    <w:rsid w:val="004F5334"/>
    <w:rsid w:val="00510B4E"/>
    <w:rsid w:val="00525969"/>
    <w:rsid w:val="0057764D"/>
    <w:rsid w:val="00581E84"/>
    <w:rsid w:val="005A65A8"/>
    <w:rsid w:val="005C4C5B"/>
    <w:rsid w:val="005E6EEB"/>
    <w:rsid w:val="005E7E3F"/>
    <w:rsid w:val="00611F25"/>
    <w:rsid w:val="00624EA3"/>
    <w:rsid w:val="006806EE"/>
    <w:rsid w:val="006B0DF2"/>
    <w:rsid w:val="007326E9"/>
    <w:rsid w:val="00745E42"/>
    <w:rsid w:val="00791F95"/>
    <w:rsid w:val="0083177D"/>
    <w:rsid w:val="00854254"/>
    <w:rsid w:val="00883E4D"/>
    <w:rsid w:val="00895489"/>
    <w:rsid w:val="008B7726"/>
    <w:rsid w:val="0095561C"/>
    <w:rsid w:val="00970751"/>
    <w:rsid w:val="00982FAE"/>
    <w:rsid w:val="009C2082"/>
    <w:rsid w:val="009E085F"/>
    <w:rsid w:val="00A873C4"/>
    <w:rsid w:val="00AD1437"/>
    <w:rsid w:val="00AF0D8C"/>
    <w:rsid w:val="00B33391"/>
    <w:rsid w:val="00B77D05"/>
    <w:rsid w:val="00CA116B"/>
    <w:rsid w:val="00CD24C5"/>
    <w:rsid w:val="00CE2F92"/>
    <w:rsid w:val="00D0417A"/>
    <w:rsid w:val="00D22371"/>
    <w:rsid w:val="00D24DFD"/>
    <w:rsid w:val="00D31D50"/>
    <w:rsid w:val="00D55BD6"/>
    <w:rsid w:val="00D827F5"/>
    <w:rsid w:val="00DB1EDF"/>
    <w:rsid w:val="00DE29AF"/>
    <w:rsid w:val="00E07009"/>
    <w:rsid w:val="00E24899"/>
    <w:rsid w:val="00E404B9"/>
    <w:rsid w:val="00E95111"/>
    <w:rsid w:val="00F11F0D"/>
    <w:rsid w:val="00F21D64"/>
    <w:rsid w:val="00F443B4"/>
    <w:rsid w:val="00FA795E"/>
    <w:rsid w:val="00FC26CC"/>
    <w:rsid w:val="00FF7956"/>
    <w:rsid w:val="017048A0"/>
    <w:rsid w:val="06212A1F"/>
    <w:rsid w:val="06DF5612"/>
    <w:rsid w:val="0AF50777"/>
    <w:rsid w:val="0F135A1D"/>
    <w:rsid w:val="0FB331A5"/>
    <w:rsid w:val="1EA21F43"/>
    <w:rsid w:val="1FA278B3"/>
    <w:rsid w:val="24CB4FCD"/>
    <w:rsid w:val="2AE465F1"/>
    <w:rsid w:val="2DE74BDD"/>
    <w:rsid w:val="34EC279E"/>
    <w:rsid w:val="531357EC"/>
    <w:rsid w:val="549849DB"/>
    <w:rsid w:val="55781F1A"/>
    <w:rsid w:val="559B3071"/>
    <w:rsid w:val="5A855D2C"/>
    <w:rsid w:val="60E34516"/>
    <w:rsid w:val="668D2846"/>
    <w:rsid w:val="693B13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16"/>
    <w:qFormat/>
    <w:uiPriority w:val="99"/>
    <w:pPr>
      <w:keepNext/>
      <w:keepLines/>
      <w:widowControl w:val="0"/>
      <w:adjustRightInd/>
      <w:snapToGrid/>
      <w:spacing w:before="340" w:after="330" w:line="578" w:lineRule="auto"/>
      <w:jc w:val="both"/>
      <w:outlineLvl w:val="0"/>
    </w:pPr>
    <w:rPr>
      <w:rFonts w:ascii="Calibri" w:hAnsi="Calibri" w:eastAsia="宋体" w:cs="Times New Roman"/>
      <w:b/>
      <w:bCs/>
      <w:kern w:val="44"/>
      <w:sz w:val="44"/>
      <w:szCs w:val="44"/>
    </w:rPr>
  </w:style>
  <w:style w:type="paragraph" w:styleId="3">
    <w:name w:val="heading 2"/>
    <w:basedOn w:val="1"/>
    <w:next w:val="1"/>
    <w:link w:val="19"/>
    <w:qFormat/>
    <w:uiPriority w:val="99"/>
    <w:pPr>
      <w:keepNext/>
      <w:keepLines/>
      <w:widowControl w:val="0"/>
      <w:adjustRightInd/>
      <w:snapToGrid/>
      <w:spacing w:before="260" w:after="260" w:line="416" w:lineRule="auto"/>
      <w:jc w:val="both"/>
      <w:outlineLvl w:val="1"/>
    </w:pPr>
    <w:rPr>
      <w:rFonts w:ascii="Calibri Light" w:hAnsi="Calibri Light" w:eastAsia="宋体" w:cs="Times New Roman"/>
      <w:b/>
      <w:bCs/>
      <w:kern w:val="2"/>
      <w:sz w:val="32"/>
      <w:szCs w:val="32"/>
    </w:rPr>
  </w:style>
  <w:style w:type="paragraph" w:styleId="4">
    <w:name w:val="heading 3"/>
    <w:basedOn w:val="1"/>
    <w:next w:val="1"/>
    <w:link w:val="1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qFormat/>
    <w:uiPriority w:val="39"/>
    <w:pPr>
      <w:widowControl w:val="0"/>
      <w:adjustRightInd/>
      <w:snapToGrid/>
      <w:spacing w:after="0"/>
      <w:ind w:left="840" w:leftChars="400"/>
      <w:jc w:val="both"/>
    </w:pPr>
    <w:rPr>
      <w:rFonts w:ascii="Calibri" w:hAnsi="Calibri" w:eastAsia="宋体" w:cs="Times New Roman"/>
      <w:kern w:val="2"/>
      <w:sz w:val="21"/>
    </w:rPr>
  </w:style>
  <w:style w:type="paragraph" w:styleId="6">
    <w:name w:val="Balloon Text"/>
    <w:basedOn w:val="1"/>
    <w:link w:val="20"/>
    <w:semiHidden/>
    <w:unhideWhenUsed/>
    <w:qFormat/>
    <w:uiPriority w:val="99"/>
    <w:pPr>
      <w:spacing w:after="0"/>
    </w:pPr>
    <w:rPr>
      <w:sz w:val="18"/>
      <w:szCs w:val="18"/>
    </w:rPr>
  </w:style>
  <w:style w:type="paragraph" w:styleId="7">
    <w:name w:val="footer"/>
    <w:basedOn w:val="1"/>
    <w:link w:val="15"/>
    <w:unhideWhenUsed/>
    <w:qFormat/>
    <w:uiPriority w:val="99"/>
    <w:pPr>
      <w:tabs>
        <w:tab w:val="center" w:pos="4153"/>
        <w:tab w:val="right" w:pos="8306"/>
      </w:tabs>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jc w:val="center"/>
    </w:pPr>
    <w:rPr>
      <w:sz w:val="18"/>
      <w:szCs w:val="18"/>
    </w:rPr>
  </w:style>
  <w:style w:type="paragraph" w:styleId="9">
    <w:name w:val="toc 1"/>
    <w:basedOn w:val="1"/>
    <w:next w:val="1"/>
    <w:qFormat/>
    <w:uiPriority w:val="39"/>
    <w:pPr>
      <w:widowControl w:val="0"/>
      <w:adjustRightInd/>
      <w:snapToGrid/>
      <w:spacing w:after="0"/>
      <w:jc w:val="both"/>
    </w:pPr>
    <w:rPr>
      <w:rFonts w:ascii="Calibri" w:hAnsi="Calibri" w:eastAsia="宋体" w:cs="Times New Roman"/>
      <w:kern w:val="2"/>
      <w:sz w:val="21"/>
    </w:rPr>
  </w:style>
  <w:style w:type="paragraph" w:styleId="10">
    <w:name w:val="toc 2"/>
    <w:basedOn w:val="1"/>
    <w:next w:val="1"/>
    <w:qFormat/>
    <w:uiPriority w:val="39"/>
    <w:pPr>
      <w:widowControl w:val="0"/>
      <w:adjustRightInd/>
      <w:snapToGrid/>
      <w:spacing w:after="0"/>
      <w:ind w:left="420" w:leftChars="200"/>
      <w:jc w:val="both"/>
    </w:pPr>
    <w:rPr>
      <w:rFonts w:ascii="Calibri" w:hAnsi="Calibri" w:eastAsia="宋体" w:cs="Times New Roman"/>
      <w:kern w:val="2"/>
      <w:sz w:val="21"/>
    </w:rPr>
  </w:style>
  <w:style w:type="table" w:styleId="12">
    <w:name w:val="Table Grid"/>
    <w:basedOn w:val="11"/>
    <w:qFormat/>
    <w:uiPriority w:val="59"/>
    <w:pPr>
      <w:widowControl w:val="0"/>
      <w:jc w:val="both"/>
    </w:pPr>
    <w:rPr>
      <w:rFonts w:eastAsiaTheme="minorEastAsi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页眉 Char"/>
    <w:basedOn w:val="13"/>
    <w:link w:val="8"/>
    <w:qFormat/>
    <w:uiPriority w:val="99"/>
    <w:rPr>
      <w:rFonts w:ascii="Tahoma" w:hAnsi="Tahoma"/>
      <w:sz w:val="18"/>
      <w:szCs w:val="18"/>
    </w:rPr>
  </w:style>
  <w:style w:type="character" w:customStyle="1" w:styleId="15">
    <w:name w:val="页脚 Char"/>
    <w:basedOn w:val="13"/>
    <w:link w:val="7"/>
    <w:qFormat/>
    <w:uiPriority w:val="99"/>
    <w:rPr>
      <w:rFonts w:ascii="Tahoma" w:hAnsi="Tahoma"/>
      <w:sz w:val="18"/>
      <w:szCs w:val="18"/>
    </w:rPr>
  </w:style>
  <w:style w:type="character" w:customStyle="1" w:styleId="16">
    <w:name w:val="标题 1 Char"/>
    <w:basedOn w:val="13"/>
    <w:link w:val="2"/>
    <w:qFormat/>
    <w:uiPriority w:val="9"/>
    <w:rPr>
      <w:rFonts w:ascii="Calibri" w:hAnsi="Calibri" w:eastAsia="宋体" w:cs="Times New Roman"/>
      <w:b/>
      <w:bCs/>
      <w:kern w:val="44"/>
      <w:sz w:val="44"/>
      <w:szCs w:val="44"/>
    </w:rPr>
  </w:style>
  <w:style w:type="paragraph" w:styleId="17">
    <w:name w:val="List Paragraph"/>
    <w:basedOn w:val="1"/>
    <w:qFormat/>
    <w:uiPriority w:val="34"/>
    <w:pPr>
      <w:ind w:firstLine="420" w:firstLineChars="200"/>
    </w:pPr>
  </w:style>
  <w:style w:type="character" w:customStyle="1" w:styleId="18">
    <w:name w:val="标题 3 Char"/>
    <w:basedOn w:val="13"/>
    <w:link w:val="4"/>
    <w:qFormat/>
    <w:uiPriority w:val="9"/>
    <w:rPr>
      <w:rFonts w:ascii="Tahoma" w:hAnsi="Tahoma"/>
      <w:b/>
      <w:bCs/>
      <w:sz w:val="32"/>
      <w:szCs w:val="32"/>
    </w:rPr>
  </w:style>
  <w:style w:type="character" w:customStyle="1" w:styleId="19">
    <w:name w:val="标题 2 Char"/>
    <w:basedOn w:val="13"/>
    <w:link w:val="3"/>
    <w:qFormat/>
    <w:uiPriority w:val="9"/>
    <w:rPr>
      <w:rFonts w:ascii="Calibri Light" w:hAnsi="Calibri Light" w:eastAsia="宋体" w:cs="Times New Roman"/>
      <w:b/>
      <w:bCs/>
      <w:kern w:val="2"/>
      <w:sz w:val="32"/>
      <w:szCs w:val="32"/>
    </w:rPr>
  </w:style>
  <w:style w:type="character" w:customStyle="1" w:styleId="20">
    <w:name w:val="批注框文本 Char"/>
    <w:basedOn w:val="13"/>
    <w:link w:val="6"/>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1AE193-17D0-4FC9-ACD2-AA716A7104EB}">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19</Pages>
  <Words>1674</Words>
  <Characters>9544</Characters>
  <Lines>79</Lines>
  <Paragraphs>22</Paragraphs>
  <TotalTime>33</TotalTime>
  <ScaleCrop>false</ScaleCrop>
  <LinksUpToDate>false</LinksUpToDate>
  <CharactersWithSpaces>11196</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黄</cp:lastModifiedBy>
  <cp:lastPrinted>2020-05-11T02:04:00Z</cp:lastPrinted>
  <dcterms:modified xsi:type="dcterms:W3CDTF">2021-06-22T05:19:01Z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2A71532B403D4AAC808F2E5E763E8FF6</vt:lpwstr>
  </property>
</Properties>
</file>