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2021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年度长沙市望城区征地服务中心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部门整体支出预算绩效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一、单位基本情况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长沙市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望城区征地服务中心</w:t>
      </w:r>
      <w:r>
        <w:rPr>
          <w:rFonts w:hint="eastAsia" w:ascii="仿宋_GB2312" w:eastAsia="仿宋_GB2312"/>
          <w:kern w:val="0"/>
          <w:sz w:val="32"/>
          <w:szCs w:val="32"/>
        </w:rPr>
        <w:t>为全额拨款的事业单位，人员编制</w:t>
      </w:r>
      <w:r>
        <w:rPr>
          <w:rFonts w:hint="eastAsia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kern w:val="0"/>
          <w:sz w:val="32"/>
          <w:szCs w:val="32"/>
        </w:rPr>
        <w:t>名，</w:t>
      </w:r>
      <w:r>
        <w:rPr>
          <w:rFonts w:hint="eastAsia"/>
          <w:kern w:val="0"/>
          <w:sz w:val="32"/>
          <w:szCs w:val="32"/>
          <w:lang w:eastAsia="zh-CN"/>
        </w:rPr>
        <w:t>退役士官</w:t>
      </w:r>
      <w:r>
        <w:rPr>
          <w:rFonts w:hint="eastAsia"/>
          <w:kern w:val="0"/>
          <w:sz w:val="32"/>
          <w:szCs w:val="32"/>
          <w:lang w:val="en-US" w:eastAsia="zh-CN"/>
        </w:rPr>
        <w:t>4人</w:t>
      </w:r>
      <w:r>
        <w:rPr>
          <w:rFonts w:hint="eastAsia" w:ascii="仿宋_GB2312" w:eastAsia="仿宋_GB2312"/>
          <w:kern w:val="0"/>
          <w:sz w:val="32"/>
          <w:szCs w:val="32"/>
        </w:rPr>
        <w:t>。职能职责如下：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1、拟订征地方案；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2、发布征地公告；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3、审批征地补偿安置方案；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4、协调处理征地补偿安置争议；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5、法律、法规、规章规定的其他补偿安置工作。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default" w:ascii="Times New Roman" w:hAnsi="Times New Roman" w:eastAsia="黑体" w:cs="Times New Roman"/>
          <w:sz w:val="30"/>
        </w:rPr>
        <w:t>二、</w:t>
      </w:r>
      <w:r>
        <w:rPr>
          <w:rFonts w:hint="eastAsia" w:ascii="Times New Roman" w:hAnsi="Times New Roman" w:eastAsia="黑体" w:cs="Times New Roman"/>
          <w:sz w:val="30"/>
          <w:lang w:eastAsia="zh-CN"/>
        </w:rPr>
        <w:t>长沙市望城区征地服务中心</w:t>
      </w:r>
      <w:r>
        <w:rPr>
          <w:rFonts w:hint="default" w:ascii="Times New Roman" w:hAnsi="Times New Roman" w:eastAsia="黑体" w:cs="Times New Roman"/>
          <w:sz w:val="30"/>
        </w:rPr>
        <w:t>预算管理及执行情况</w:t>
      </w:r>
    </w:p>
    <w:p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1、资金使用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长沙市望城区征地办年度项目资金</w:t>
      </w:r>
      <w:r>
        <w:rPr>
          <w:rFonts w:hint="eastAsia"/>
          <w:sz w:val="32"/>
          <w:szCs w:val="32"/>
          <w:lang w:val="en-US" w:eastAsia="zh-CN"/>
        </w:rPr>
        <w:t>871.36</w:t>
      </w:r>
      <w:r>
        <w:rPr>
          <w:rFonts w:hint="eastAsia" w:ascii="仿宋_GB2312" w:eastAsia="仿宋_GB2312"/>
          <w:sz w:val="32"/>
          <w:szCs w:val="32"/>
        </w:rPr>
        <w:t>万元整，用于征拆安置工作协调、会议、政策电视宣传制作、宣传资料印刷以及依法腾地专项支出等；用于完成本区域范围内征地安置依法腾地工作、项目扫尾及政策宣传；依法依规热情主动做好全区项目征地拆迁安置工作的牵头、组织、协调、监督等，保障项目的顺利推进。</w:t>
      </w:r>
    </w:p>
    <w:p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2、资金管理</w:t>
      </w:r>
    </w:p>
    <w:p>
      <w:pPr>
        <w:ind w:firstLine="321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我单位建立了单位层面的内控运行制约机制。主要包括8个方面的内容：内控管理职责分工，决策机制，关键岗位责任机制，关键人员资质能力，财务信息编报要求，信息技术应用要求，经济活动风险评估，内部控制监督评价。 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梳理了单位主要经济业务管理制度及流程。针对预(决)算管理、经费收支管理、政府采购管理、以及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资产管理等业务模块，在规章制度方面，梳理制度文件，汇编成册。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     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通过信息化对制度和流程进行固化。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要保障内控真正落地，信息化是实施内控的最重要手段。我单位在信息系统建设中将内控理念嵌入信息系统中，将制度和流程进行固化并达到常态化，真正实现从人治管理向法治管理和科学管理的转变。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lang w:eastAsia="zh-CN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三、长沙市望城区征地服务中心资产管理情况</w:t>
      </w:r>
    </w:p>
    <w:p>
      <w:pPr>
        <w:widowControl/>
        <w:ind w:firstLine="640" w:firstLineChars="200"/>
        <w:rPr>
          <w:rFonts w:hint="default" w:asci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截</w:t>
      </w:r>
      <w:r>
        <w:rPr>
          <w:rFonts w:hint="eastAsia"/>
          <w:kern w:val="0"/>
          <w:sz w:val="32"/>
          <w:szCs w:val="32"/>
          <w:lang w:val="en-US" w:eastAsia="zh-CN"/>
        </w:rPr>
        <w:t>至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20</w:t>
      </w:r>
      <w:r>
        <w:rPr>
          <w:rFonts w:hint="eastAsia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年12月31日本单位有固定资产</w:t>
      </w:r>
      <w:r>
        <w:rPr>
          <w:rFonts w:hint="eastAsia"/>
          <w:kern w:val="0"/>
          <w:sz w:val="32"/>
          <w:szCs w:val="32"/>
          <w:lang w:val="en-US" w:eastAsia="zh-CN"/>
        </w:rPr>
        <w:t>159.68万元，累计折旧113.71万元，资产已全部录入资产系统，集中统一管理，单位专设一名固定资产管理员。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0"/>
        </w:rPr>
        <w:t>、</w:t>
      </w:r>
      <w:r>
        <w:rPr>
          <w:rFonts w:hint="eastAsia" w:ascii="Times New Roman" w:hAnsi="Times New Roman" w:eastAsia="黑体" w:cs="Times New Roman"/>
          <w:sz w:val="30"/>
          <w:lang w:eastAsia="zh-CN"/>
        </w:rPr>
        <w:t>长沙市望城区征地服务中心</w:t>
      </w:r>
      <w:r>
        <w:rPr>
          <w:rFonts w:hint="default" w:ascii="Times New Roman" w:hAnsi="Times New Roman" w:eastAsia="黑体" w:cs="Times New Roman"/>
          <w:sz w:val="30"/>
        </w:rPr>
        <w:t>整体支出绩效目标及开展情况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一、2021年度征地补偿安置工作情况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1. 依法阳光迅稳高效推进拆迁腾地。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一是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根据省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市区各级项目建设需要，经区人民政府批准，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年我区共铺排征拆项目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154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个（含转接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、追加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），涉及面积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.8万余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亩。截</w:t>
      </w:r>
      <w:r>
        <w:rPr>
          <w:rFonts w:hint="eastAsia" w:hAnsi="仿宋" w:cs="仿宋"/>
          <w:color w:val="auto"/>
          <w:sz w:val="32"/>
          <w:szCs w:val="32"/>
          <w:lang w:eastAsia="zh-CN"/>
        </w:rPr>
        <w:t>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日，共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签约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1613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户、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拆房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1561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栋、动迁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余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人，完成了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大泽湖海归小镇康佳总部、金山桥高铁西城地块三、天汇文化工业基地、桥驿镇新达益教育总部、湘江东岸堤防综合治理工程、白沙洲迎江路、月亮岛谷山中学等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105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个项目拆房清零，腾地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1011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亩。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二是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强化统筹调度，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  <w:lang w:eastAsia="zh-CN"/>
        </w:rPr>
        <w:t>高效推进国有土地上房屋征收工作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，年度征收房屋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84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栋、拆房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2.9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万余㎡，完成了前进小学等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19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个项目的征收补偿安置工作，腾地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24.8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</w:rPr>
        <w:t>万余㎡</w:t>
      </w:r>
      <w:r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三是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各基础性工作落到实处，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年度发布“征地公告”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63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宗、“征求意见公告”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87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宗、“实施公告”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71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宗，完成项目征地补偿社会风险评估报告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63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2. 大胆改革创新举措落实安置保障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一是</w:t>
      </w:r>
      <w:r>
        <w:rPr>
          <w:rFonts w:hint="eastAsia" w:ascii="仿宋" w:hAnsi="仿宋" w:eastAsia="仿宋" w:cs="仿宋"/>
          <w:sz w:val="32"/>
          <w:szCs w:val="32"/>
        </w:rPr>
        <w:t>完成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8966</w:t>
      </w:r>
      <w:r>
        <w:rPr>
          <w:rFonts w:hint="eastAsia" w:ascii="仿宋" w:hAnsi="仿宋" w:eastAsia="仿宋" w:cs="仿宋"/>
          <w:sz w:val="32"/>
          <w:szCs w:val="32"/>
        </w:rPr>
        <w:t>余名拆迁安置对象参保资格审核。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归集团购房回购资金</w:t>
      </w:r>
      <w:r>
        <w:rPr>
          <w:rFonts w:hint="default" w:ascii="Times New Roman" w:hAnsi="Times New Roman" w:eastAsia="仿宋" w:cs="Times New Roman"/>
          <w:sz w:val="32"/>
          <w:szCs w:val="32"/>
        </w:rPr>
        <w:t>13.89</w:t>
      </w:r>
      <w:r>
        <w:rPr>
          <w:rFonts w:hint="eastAsia" w:ascii="仿宋" w:hAnsi="仿宋" w:eastAsia="仿宋" w:cs="仿宋"/>
          <w:sz w:val="32"/>
          <w:szCs w:val="32"/>
        </w:rPr>
        <w:t>亿元，完成</w:t>
      </w:r>
      <w:r>
        <w:rPr>
          <w:rFonts w:hint="default" w:ascii="Times New Roman" w:hAnsi="Times New Roman" w:eastAsia="仿宋" w:cs="Times New Roman"/>
          <w:sz w:val="32"/>
          <w:szCs w:val="32"/>
        </w:rPr>
        <w:t>8681</w:t>
      </w:r>
      <w:r>
        <w:rPr>
          <w:rFonts w:hint="eastAsia" w:ascii="仿宋" w:hAnsi="仿宋" w:eastAsia="仿宋" w:cs="仿宋"/>
          <w:sz w:val="32"/>
          <w:szCs w:val="32"/>
        </w:rPr>
        <w:t>人、</w:t>
      </w:r>
      <w:r>
        <w:rPr>
          <w:rFonts w:hint="default" w:ascii="Times New Roman" w:hAnsi="Times New Roman" w:eastAsia="仿宋" w:cs="Times New Roman"/>
          <w:sz w:val="32"/>
          <w:szCs w:val="32"/>
        </w:rPr>
        <w:t>47.75</w:t>
      </w:r>
      <w:r>
        <w:rPr>
          <w:rFonts w:hint="eastAsia" w:ascii="仿宋" w:hAnsi="仿宋" w:eastAsia="仿宋" w:cs="仿宋"/>
          <w:sz w:val="32"/>
          <w:szCs w:val="32"/>
        </w:rPr>
        <w:t>万㎡团购房资格回购，拨付回购资金</w:t>
      </w:r>
      <w:r>
        <w:rPr>
          <w:rFonts w:hint="default" w:ascii="Times New Roman" w:hAnsi="Times New Roman" w:eastAsia="仿宋" w:cs="Times New Roman"/>
          <w:sz w:val="32"/>
          <w:szCs w:val="32"/>
        </w:rPr>
        <w:t>12.72</w:t>
      </w:r>
      <w:r>
        <w:rPr>
          <w:rFonts w:hint="eastAsia" w:ascii="仿宋" w:hAnsi="仿宋" w:eastAsia="仿宋" w:cs="仿宋"/>
          <w:sz w:val="32"/>
          <w:szCs w:val="32"/>
        </w:rPr>
        <w:t>亿元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；年度完成年度完成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5256.5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人团购房资格回购工作，回购率达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99.7%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（不含月亮岛街道）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hint="eastAsia" w:ascii="仿宋" w:hAnsi="仿宋" w:eastAsia="仿宋" w:cs="仿宋"/>
          <w:sz w:val="32"/>
          <w:szCs w:val="32"/>
        </w:rPr>
        <w:t>完成失地少地农民生活补助对象年审工作，四季度共计核发失地少地农民生活补助费</w:t>
      </w:r>
      <w:r>
        <w:rPr>
          <w:rFonts w:hint="default" w:ascii="Times New Roman" w:hAnsi="Times New Roman" w:eastAsia="仿宋" w:cs="Times New Roman"/>
          <w:sz w:val="32"/>
          <w:szCs w:val="32"/>
        </w:rPr>
        <w:t>6838.96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四是</w:t>
      </w:r>
      <w:r>
        <w:rPr>
          <w:rFonts w:hint="eastAsia" w:ascii="仿宋" w:hAnsi="仿宋" w:eastAsia="仿宋" w:cs="仿宋"/>
          <w:sz w:val="32"/>
          <w:szCs w:val="32"/>
        </w:rPr>
        <w:t>全区“两安”用地遗留问题处置工作共涉及</w:t>
      </w:r>
      <w:r>
        <w:rPr>
          <w:rFonts w:hint="default" w:ascii="Times New Roman" w:hAnsi="Times New Roman" w:eastAsia="仿宋" w:cs="Times New Roman"/>
          <w:sz w:val="32"/>
          <w:szCs w:val="32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个街镇</w:t>
      </w:r>
      <w:r>
        <w:rPr>
          <w:rFonts w:hint="default" w:ascii="Times New Roman" w:hAnsi="Times New Roman" w:eastAsia="仿宋" w:cs="Times New Roman"/>
          <w:sz w:val="32"/>
          <w:szCs w:val="32"/>
        </w:rPr>
        <w:t>42</w:t>
      </w:r>
      <w:r>
        <w:rPr>
          <w:rFonts w:hint="eastAsia" w:ascii="仿宋" w:hAnsi="仿宋" w:eastAsia="仿宋" w:cs="仿宋"/>
          <w:sz w:val="32"/>
          <w:szCs w:val="32"/>
        </w:rPr>
        <w:t>个村（社区），其中</w:t>
      </w:r>
      <w:r>
        <w:rPr>
          <w:rFonts w:hint="default" w:ascii="Times New Roman" w:hAnsi="Times New Roman" w:eastAsia="仿宋" w:cs="Times New Roman"/>
          <w:sz w:val="32"/>
          <w:szCs w:val="32"/>
        </w:rPr>
        <w:t>37</w:t>
      </w:r>
      <w:r>
        <w:rPr>
          <w:rFonts w:hint="eastAsia" w:ascii="仿宋" w:hAnsi="仿宋" w:eastAsia="仿宋" w:cs="仿宋"/>
          <w:sz w:val="32"/>
          <w:szCs w:val="32"/>
        </w:rPr>
        <w:t>个村（社区）需补差指标，已完成</w:t>
      </w:r>
      <w:r>
        <w:rPr>
          <w:rFonts w:hint="default" w:ascii="Times New Roman" w:hAnsi="Times New Roman" w:eastAsia="仿宋" w:cs="Times New Roman"/>
          <w:sz w:val="32"/>
          <w:szCs w:val="32"/>
        </w:rPr>
        <w:t>35</w:t>
      </w:r>
      <w:r>
        <w:rPr>
          <w:rFonts w:hint="eastAsia" w:ascii="仿宋" w:hAnsi="仿宋" w:eastAsia="仿宋" w:cs="仿宋"/>
          <w:sz w:val="32"/>
          <w:szCs w:val="32"/>
        </w:rPr>
        <w:t>个村（社区）“两安”问题处置。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olor w:val="auto"/>
          <w:sz w:val="32"/>
          <w:szCs w:val="32"/>
          <w:lang w:val="en-US" w:eastAsia="zh-CN"/>
        </w:rPr>
        <w:t>3. 严管常抓其他各项工作齐头并进。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高度重视市征地办、市资规局关于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年督查指出的问题，已按要求将问题整改到位。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积极化解各级交办的“涉拆涉安”信访问题，有效维护了拆迁领域安全稳定。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强化拆迁领域“雁过拔毛式”等腐败风险防范，高筑廉洁拆迁防火墙，年度拆迁领域无腐败问题发生。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olor w:val="auto"/>
          <w:sz w:val="32"/>
          <w:szCs w:val="32"/>
          <w:lang w:val="en-US" w:eastAsia="zh-CN"/>
        </w:rPr>
        <w:t>4. 凝神聚力精准施策干出特色亮点。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今年来，我们结合党史学习教育工作，在“拆安”工方面干出了特色亮点：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是做好困难帮扶。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提升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拆迁群众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“满意度”，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推行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温情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温暖“拆安”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我们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对在上门走访过程中拆迁群众反映的问题进行全面梳理，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在建党“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周年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”之际，结合“我为群众办实事”要求，开展“项目建设，奉献有你”走访慰问活动，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对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拆迁群众中的优秀党员、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五保户、重大疾病人群、烈属及伤残军人、残疾人等弱势群体给予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慰问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共计慰问已拆迁群众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300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二是再创征拆望城速度。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自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日全区开展项目建设“百日攻坚”行动以来，各街镇上下一心、奋力攻坚，不断刷新了征拆腾地的新速度。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大泽湖街道街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一天实现大湖苑项目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户征拆补偿签约和团购房资格回购签约“双清零”，金山桥街道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天内完成观音岩九年一贯制学校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33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户签约清零，丁字湾街道湘江东岸堤防综合整治工程项目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77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户国有土地房屋在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天内实现了签约清零。特别是在长株潭城际铁路至石长铁路联络线、常益长铁路（望城段）、长赣铁路等项目实施征拆时表现突出，既稳又快切实保障了省重点项目扎实推进，受到了省自然资源事务中心通报表扬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三是突出廉洁拆迁。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为使拆迁群众放心、暖心，我们秉持“依法、阳光、廉洁、和谐”理念，以“四三制”等制度约束权力、以“点对点”直付方式等管理方式强化监督，积极努力打造拆迁系统廉政体系，今年来无一贪腐案件发生。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月份，我区廉洁“拆安”做法被清风杂志以“落实廉政建设，提高望城能效”为题推介。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是突出拆安同步。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拆迁后的生活安置是群众最为关心的问题。为此，在实际工作中，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我们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进一步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加大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“团购房”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资格回购力度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积极引导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拆迁群众在签约时便选定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好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安置方式，真正意义上实现纯货币安置，做到了拆迁与安置同步进行。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3YTlhMTkzNTU0OWNmMmJmNDEyMGYxMjBmZjY4ODUifQ=="/>
  </w:docVars>
  <w:rsids>
    <w:rsidRoot w:val="3E0320CD"/>
    <w:rsid w:val="00261670"/>
    <w:rsid w:val="3E0320CD"/>
    <w:rsid w:val="40F6208D"/>
    <w:rsid w:val="6310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textAlignment w:val="baseline"/>
    </w:pPr>
    <w:rPr>
      <w:rFonts w:ascii="黑体" w:hAnsi="黑体" w:eastAsia="黑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2231</Words>
  <Characters>2348</Characters>
  <Lines>0</Lines>
  <Paragraphs>0</Paragraphs>
  <TotalTime>2</TotalTime>
  <ScaleCrop>false</ScaleCrop>
  <LinksUpToDate>false</LinksUpToDate>
  <CharactersWithSpaces>2360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2021-01-21T02:01:00Z</dcterms:created>
  <dc:creator></dc:creator>
  <cp:lastModifiedBy>姣^o^</cp:lastModifiedBy>
  <dcterms:modified xsi:type="dcterms:W3CDTF">2022-11-04T05:53:34Z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EDA200F3C2AB47EBB91ACDFAED942C13</vt:lpwstr>
  </property>
</Properties>
</file>