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0" w:beforeAutospacing="0" w:after="2" w:afterAutospacing="0"/>
        <w:jc w:val="center"/>
        <w:rPr>
          <w:rFonts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44"/>
          <w:szCs w:val="44"/>
        </w:rPr>
        <w:t>2024年长沙市望城区农机事务中心部门预算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jc w:val="center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 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jc w:val="center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目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000000"/>
          <w:sz w:val="32"/>
          <w:szCs w:val="32"/>
        </w:rPr>
        <w:t>录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第一部分 2024年部门预算说明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pStyle w:val="14"/>
        <w:spacing w:before="0" w:beforeAutospacing="0" w:after="2" w:afterAutospacing="0"/>
        <w:ind w:left="0" w:firstLine="70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一、部门基本概况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（一）职能职责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（二）机构设置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二、部门预算单位构成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三、部门收支总体情况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（一）收入预算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（二）支出预算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四、一般公共预算拨款支出预算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（一）基本支出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（二）项目支出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五、政府性基金预算支出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六、其他重要事项的情况说明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（一）机关运行经费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（二）“三公”经费预算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（三）一般性支出情况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（四）政府采购情况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（五）国有资产占用使用及新增资产配置情况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（六）预算绩效目标说明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七、名词解释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第二部分 2024年部门预算表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1、收支总表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2、收入总表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3、支出总表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4、财政拨款收支总表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5、一般公共预算支出表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6、一般公共预算基本支出表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7、一般公共预算“三公”经费支出表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8、政府性基金预算支出表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9、项目支出绩效目标表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10、部门整体支出绩效目标表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注：以上部门预算报表中，空表表示本部门无相关收支情况。</w:t>
      </w:r>
    </w:p>
    <w:p>
      <w:pPr>
        <w:spacing w:before="0" w:beforeAutospacing="0" w:after="2" w:afterAutospacing="0"/>
        <w:ind w:left="0" w:firstLine="64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 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jc w:val="both"/>
        <w:rPr>
          <w:rFonts w:hint="default" w:ascii="仿宋_GB2312" w:eastAsia="仿宋_GB2312" w:cs="仿宋_GB2312"/>
          <w:sz w:val="21"/>
          <w:szCs w:val="21"/>
        </w:rPr>
      </w:pPr>
    </w:p>
    <w:p>
      <w:pPr>
        <w:spacing w:before="0" w:beforeAutospacing="0" w:after="2" w:afterAutospacing="0"/>
        <w:jc w:val="both"/>
        <w:rPr>
          <w:rFonts w:hint="default" w:ascii="仿宋_GB2312" w:eastAsia="仿宋_GB2312" w:cs="仿宋_GB2312"/>
          <w:sz w:val="21"/>
          <w:szCs w:val="21"/>
        </w:rPr>
      </w:pPr>
    </w:p>
    <w:p>
      <w:pPr>
        <w:spacing w:before="0" w:beforeAutospacing="0" w:after="2" w:afterAutospacing="0"/>
        <w:jc w:val="center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6"/>
          <w:szCs w:val="36"/>
        </w:rPr>
        <w:t>第一部分</w:t>
      </w:r>
      <w:r>
        <w:rPr>
          <w:rFonts w:hint="default" w:ascii="仿宋_GB2312" w:eastAsia="仿宋_GB2312" w:cs="仿宋_GB2312"/>
          <w:color w:val="000000"/>
          <w:sz w:val="36"/>
          <w:szCs w:val="36"/>
        </w:rPr>
        <w:t> </w:t>
      </w:r>
      <w:r>
        <w:rPr>
          <w:rStyle w:val="12"/>
          <w:rFonts w:ascii="宋体" w:hAnsi="宋体" w:eastAsia="宋体" w:cs="宋体"/>
          <w:color w:val="000000"/>
          <w:sz w:val="36"/>
          <w:szCs w:val="36"/>
        </w:rPr>
        <w:t>2024年部门预算说明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 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27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一、部门基本概况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28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（一）职能职责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pStyle w:val="14"/>
        <w:spacing w:before="0" w:beforeAutospacing="0" w:after="2" w:afterAutospacing="0"/>
        <w:ind w:left="0" w:firstLine="641"/>
        <w:rPr>
          <w:sz w:val="27"/>
          <w:szCs w:val="27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1、贯彻执行党和国家、省、市、区政府有关农业机械化工作的政策和法规，为全区农业机械化发展提供技术性支撑和公益性、事务性服务。</w:t>
      </w:r>
      <w:r>
        <w:rPr>
          <w:color w:val="000000"/>
          <w:sz w:val="27"/>
          <w:szCs w:val="27"/>
        </w:rPr>
        <w:t xml:space="preserve"> </w:t>
      </w:r>
    </w:p>
    <w:p>
      <w:pPr>
        <w:pStyle w:val="14"/>
        <w:spacing w:before="0" w:beforeAutospacing="0" w:after="2" w:afterAutospacing="0"/>
        <w:ind w:left="0" w:firstLine="641"/>
        <w:rPr>
          <w:sz w:val="27"/>
          <w:szCs w:val="27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2、承担全区农业机械化事业发展规划和有关标准、技术规范的研究工作，就农业机械社会化服务和产业化发展的经济、技术问题开展相关评估论证，提出对策建议。</w:t>
      </w:r>
      <w:r>
        <w:rPr>
          <w:color w:val="000000"/>
          <w:sz w:val="27"/>
          <w:szCs w:val="27"/>
        </w:rPr>
        <w:t xml:space="preserve"> </w:t>
      </w:r>
    </w:p>
    <w:p>
      <w:pPr>
        <w:pStyle w:val="14"/>
        <w:spacing w:before="0" w:beforeAutospacing="0" w:after="2" w:afterAutospacing="0"/>
        <w:ind w:left="0" w:firstLine="641"/>
        <w:rPr>
          <w:sz w:val="27"/>
          <w:szCs w:val="27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3、为全区农业机械化生产、农机社会化服务、农机维修和抗灾救灾等提供指导服务，承担农业机械化发展项目的组织实施，承担农业机械购置补贴政策实施的调查研究和具体事务。</w:t>
      </w:r>
      <w:r>
        <w:rPr>
          <w:color w:val="000000"/>
          <w:sz w:val="27"/>
          <w:szCs w:val="27"/>
        </w:rPr>
        <w:t xml:space="preserve"> </w:t>
      </w:r>
    </w:p>
    <w:p>
      <w:pPr>
        <w:pStyle w:val="14"/>
        <w:spacing w:before="0" w:beforeAutospacing="0" w:after="2" w:afterAutospacing="0"/>
        <w:ind w:left="0" w:firstLine="641"/>
        <w:rPr>
          <w:sz w:val="27"/>
          <w:szCs w:val="27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4、负责全区农业机械化信息网络建设与运行，收集、整理和分析农业机械化生产信息。</w:t>
      </w:r>
      <w:r>
        <w:rPr>
          <w:color w:val="000000"/>
          <w:sz w:val="27"/>
          <w:szCs w:val="27"/>
        </w:rPr>
        <w:t xml:space="preserve"> </w:t>
      </w:r>
    </w:p>
    <w:p>
      <w:pPr>
        <w:pStyle w:val="14"/>
        <w:spacing w:before="0" w:beforeAutospacing="0" w:after="2" w:afterAutospacing="0"/>
        <w:ind w:left="0" w:firstLine="641"/>
        <w:rPr>
          <w:sz w:val="27"/>
          <w:szCs w:val="27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5、开展农业机械新机具新技术的引进和示范推广，开展农业机械化技术和学术交流，组织开展农业机械从业人员教育培训和职业技能开发工作，指导全区基层农机服务体系建设。</w:t>
      </w:r>
      <w:r>
        <w:rPr>
          <w:color w:val="000000"/>
          <w:sz w:val="27"/>
          <w:szCs w:val="27"/>
        </w:rPr>
        <w:t xml:space="preserve"> </w:t>
      </w:r>
    </w:p>
    <w:p>
      <w:pPr>
        <w:pStyle w:val="14"/>
        <w:spacing w:before="0" w:beforeAutospacing="0" w:after="2" w:afterAutospacing="0"/>
        <w:ind w:left="0" w:firstLine="641"/>
        <w:rPr>
          <w:sz w:val="27"/>
          <w:szCs w:val="27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6、负责农业行业安全工作，开展有关技术性和事务性工作。</w:t>
      </w:r>
      <w:r>
        <w:rPr>
          <w:color w:val="000000"/>
          <w:sz w:val="27"/>
          <w:szCs w:val="27"/>
        </w:rPr>
        <w:t xml:space="preserve"> </w:t>
      </w:r>
    </w:p>
    <w:p>
      <w:pPr>
        <w:pStyle w:val="14"/>
        <w:spacing w:before="0" w:beforeAutospacing="0" w:after="2" w:afterAutospacing="0"/>
        <w:ind w:left="0" w:firstLine="641"/>
        <w:rPr>
          <w:sz w:val="27"/>
          <w:szCs w:val="27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7、参与农田机耕道路建设等。</w:t>
      </w:r>
      <w:r>
        <w:rPr>
          <w:color w:val="000000"/>
          <w:sz w:val="27"/>
          <w:szCs w:val="27"/>
        </w:rPr>
        <w:t xml:space="preserve"> </w:t>
      </w:r>
    </w:p>
    <w:p>
      <w:pPr>
        <w:spacing w:before="0" w:beforeAutospacing="0" w:after="2" w:afterAutospacing="0"/>
        <w:ind w:left="0" w:firstLine="628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（二）机构设置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28"/>
        <w:rPr>
          <w:rFonts w:hint="default" w:ascii="仿宋_GB2312" w:eastAsia="仿宋_GB2312" w:cs="仿宋_GB231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长沙市望城区农机事务中心内设科室4个包括：</w:t>
      </w:r>
      <w:r>
        <w:rPr>
          <w:rFonts w:ascii="宋体" w:hAnsi="宋体" w:eastAsia="宋体" w:cs="宋体"/>
          <w:color w:val="000000"/>
          <w:sz w:val="32"/>
          <w:szCs w:val="32"/>
        </w:rPr>
        <w:t>办公室、计划财务科、产业发展科、科教推广科。本部门共有编制人数34人，实有人数24人。</w:t>
      </w:r>
    </w:p>
    <w:p>
      <w:pPr>
        <w:spacing w:before="0" w:beforeAutospacing="0" w:after="2" w:afterAutospacing="0"/>
        <w:ind w:left="0" w:firstLine="627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二、部门预算单位构成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27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长沙市望城区农机事务中心部门只有本级，没有其他二级预算单位，因此，纳入2024年部门预算编制范围的只有长沙市望城区农机事务中心部门本级。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27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三、部门收支总体情况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0"/>
      </w:pPr>
      <w:r>
        <w:rPr>
          <w:rFonts w:ascii="宋体" w:hAnsi="宋体" w:eastAsia="宋体" w:cs="宋体"/>
          <w:color w:val="000000"/>
          <w:sz w:val="32"/>
          <w:szCs w:val="32"/>
        </w:rPr>
        <w:t>2024年部门预算收入包括一般公共预算收入、政府性基金收入和国有资本经营预算收入等财政拨款收入，以及纳入专户管理的非税收入等；2024年部门预算支出既包括保障单位基本运行的经费，也包括农业机械化补贴配套专项资金。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0" w:firstLine="628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（一）收入预算：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2024年本部门收入预算927.16万元，其中，一般公共预算拨款927.16万元，</w:t>
      </w:r>
      <w:r>
        <w:rPr>
          <w:rFonts w:ascii="宋体" w:hAnsi="宋体" w:eastAsia="宋体" w:cs="宋体"/>
          <w:color w:val="000000"/>
          <w:sz w:val="32"/>
          <w:szCs w:val="32"/>
        </w:rPr>
        <w:t>收入较去年减少82.83万元，主要是人员减少，公用经费和专项资金压减。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28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（二）支出预算：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2024年本部门支出预算927.16万元。社会保障和就业支出206.74万元，卫生健康支出41.59万元，农林水支出623.78万元，住房保障支出55.05万元。支出较去年减少82.83万元，</w:t>
      </w:r>
      <w:r>
        <w:rPr>
          <w:rFonts w:ascii="宋体" w:hAnsi="宋体" w:eastAsia="宋体" w:cs="宋体"/>
          <w:color w:val="000000"/>
          <w:sz w:val="32"/>
          <w:szCs w:val="32"/>
        </w:rPr>
        <w:t>主要是人员减少，公用经费和专项资金压减。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四、一般公共预算拨款支出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2024年本部门一般公共预算拨款支出预算927.16万元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，具体安排情况如下：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（一）基本支出：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基本支出预算数751.16万元，是指为保障单位机构正常运转、完成日常工作任务而发生的各项支出，包括用于基本工资、津贴补贴等人员经费以及办公费、印刷费、水电费、办公设备购置等日常公用经费。其中人员经费715.16万元，公用经费36万元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（二）项目支出：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项目支出预算176万元，是指单位为完成特定行政工作任务或事业发展目标而发生的支出，包括有关事业发展专项、专项业务费、基本建设支出、对街镇专项补助等，其中：一般行政管理事务96万元，主要用于机械化育插秧技术推广、机械化育抛秧技术推广、农机购置补贴、集中育秧设施建设、农机操作技能培训等方面；其他农业农村支出80万元，主要用于农业机械化补贴配套等方面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五、政府性基金预算支出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2024年本部门无政府性基金安排的支出，故政府性基金预算表为空。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六、其他重要事项的情况说明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b/>
          <w:bCs/>
          <w:color w:val="000000"/>
          <w:sz w:val="32"/>
          <w:szCs w:val="32"/>
        </w:rPr>
        <w:t>（一）机关运行经费</w:t>
      </w:r>
      <w:r>
        <w:rPr>
          <w:rStyle w:val="12"/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2024年本部门机关运行经费36万元，比上年预算减少4.5万元，比上年预算下降11.110000000000001%，主要是退休人员增加，在职人数减少，公用经费减少。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b/>
          <w:bCs/>
          <w:color w:val="000000"/>
          <w:sz w:val="32"/>
          <w:szCs w:val="32"/>
        </w:rPr>
        <w:t>（二）“三公”经费预算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jc w:val="both"/>
        <w:rPr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2024年本部门“三公”经费预算数为4.5万元，其中，公务接待费0.5万元，公务用车购置及运行费4万元（其中，公务用车购置费0万元，公务用车运行费4万元），因公出国（境）费0万元。2024年“三公”经费预算较2023年减少2.56万元，主要是按照文件要求压减一般性支出。</w:t>
      </w:r>
      <w:r>
        <w:rPr>
          <w:rFonts w:hint="default" w:ascii="仿宋_GB2312" w:hAnsi="宋体" w:eastAsia="仿宋_GB2312" w:cs="仿宋_GB2312"/>
          <w:color w:val="000000"/>
          <w:sz w:val="32"/>
          <w:szCs w:val="32"/>
        </w:rPr>
        <w:t xml:space="preserve"> </w:t>
      </w:r>
    </w:p>
    <w:p>
      <w:pPr>
        <w:spacing w:before="0" w:beforeAutospacing="0" w:after="2" w:afterAutospacing="0"/>
        <w:ind w:left="0" w:firstLine="660"/>
        <w:jc w:val="both"/>
        <w:rPr>
          <w:sz w:val="21"/>
          <w:szCs w:val="21"/>
        </w:rPr>
      </w:pPr>
      <w:r>
        <w:rPr>
          <w:rStyle w:val="12"/>
          <w:rFonts w:ascii="宋体" w:hAnsi="宋体" w:eastAsia="宋体" w:cs="宋体"/>
          <w:b/>
          <w:bCs/>
          <w:color w:val="000000"/>
          <w:sz w:val="32"/>
          <w:szCs w:val="32"/>
        </w:rPr>
        <w:t>（三）一般性支出情况</w:t>
      </w:r>
      <w:r>
        <w:rPr>
          <w:rStyle w:val="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2024年本部门会议费预算10万元，拟召开机插机抛、机收减损、集中育秧设施建设、农机购置补贴、农机操作技能宣传等会议，人数280人，会议内容为机械化育插秧技术推广、机械化育抛秧技术推广、集中育秧设施建设、农机购置补贴、机收减损、农机操作技能宣传培训；培训费预算10万元，拟开展机插机抛、机收减损、集中育秧设施建设、农机购置补贴、农机操作技能培训，人数280人，培训内容为机械化育插秧技术推广、机械化育抛秧技术推广、集中育秧设施建设、农机购置补贴、机收减损、农机操作技能宣传培训；未举办节庆、晚会、论坛、赛事等活动，预算0万元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jc w:val="both"/>
        <w:rPr>
          <w:sz w:val="21"/>
          <w:szCs w:val="21"/>
        </w:rPr>
      </w:pPr>
      <w:r>
        <w:rPr>
          <w:rStyle w:val="12"/>
          <w:rFonts w:ascii="宋体" w:hAnsi="宋体" w:eastAsia="宋体" w:cs="宋体"/>
          <w:b/>
          <w:bCs/>
          <w:color w:val="000000"/>
          <w:sz w:val="32"/>
          <w:szCs w:val="32"/>
        </w:rPr>
        <w:t>（四）政府采购情况</w:t>
      </w:r>
      <w:r>
        <w:rPr>
          <w:rStyle w:val="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2024年本部门政府采购预算总额8.65万元，其中，货物类采购预算6.2万元；工程类采购预算0万元；服务类采购预算2.45万元。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sz w:val="21"/>
          <w:szCs w:val="21"/>
        </w:rPr>
      </w:pPr>
      <w:r>
        <w:rPr>
          <w:rStyle w:val="12"/>
          <w:rFonts w:ascii="宋体" w:hAnsi="宋体" w:eastAsia="宋体" w:cs="宋体"/>
          <w:b/>
          <w:bCs/>
          <w:color w:val="000000"/>
          <w:sz w:val="32"/>
          <w:szCs w:val="32"/>
        </w:rPr>
        <w:t>（五）国有资产占用使用及新增资产配置情况</w:t>
      </w:r>
      <w:r>
        <w:rPr>
          <w:rStyle w:val="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  <w:r>
        <w:rPr>
          <w:rFonts w:ascii="宋体" w:hAnsi="宋体" w:eastAsia="宋体" w:cs="宋体"/>
          <w:color w:val="000000"/>
          <w:sz w:val="32"/>
          <w:szCs w:val="32"/>
        </w:rPr>
        <w:t>截至2023年12月底，本部门共有公务用车1辆，其中，机要通信用车0辆，应急保障用车0辆，执法执勤用车0辆，特种专业技术用车0辆，其他按照规定配备的公务用车1辆；单位价值50万元以上通用设备0台，单位价值100万元以上专用设备0台。2024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  <w:r>
        <w:rPr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  <w:rPr>
          <w:sz w:val="21"/>
          <w:szCs w:val="21"/>
        </w:rPr>
      </w:pPr>
      <w:r>
        <w:rPr>
          <w:rStyle w:val="12"/>
          <w:rFonts w:ascii="宋体" w:hAnsi="宋体" w:eastAsia="宋体" w:cs="宋体"/>
          <w:b/>
          <w:bCs/>
          <w:color w:val="000000"/>
          <w:sz w:val="32"/>
          <w:szCs w:val="32"/>
        </w:rPr>
        <w:t>（六）预算绩效目标说明</w:t>
      </w:r>
      <w:r>
        <w:rPr>
          <w:rStyle w:val="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60"/>
      </w:pPr>
      <w:r>
        <w:rPr>
          <w:rFonts w:ascii="宋体" w:hAnsi="宋体" w:eastAsia="宋体" w:cs="宋体"/>
          <w:color w:val="000000"/>
          <w:sz w:val="32"/>
          <w:szCs w:val="32"/>
        </w:rPr>
        <w:t>本单位纳入部门整体支出绩效管理，由主管部门统一组织实施。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0" w:firstLine="660"/>
        <w:jc w:val="both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七、名词解释</w:t>
      </w:r>
      <w:r>
        <w:rPr>
          <w:rStyle w:val="12"/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一）机关运行经费：是指为保障行政单位（包括参照公务员法管理的事业单位）运行用于购买货物和服务的各项资金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二）“三公”经费：是指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0" w:firstLine="643"/>
      </w:pPr>
    </w:p>
    <w:p>
      <w:pPr>
        <w:spacing w:before="0" w:beforeAutospacing="0" w:after="2" w:afterAutospacing="0"/>
        <w:ind w:left="0" w:firstLine="720"/>
        <w:jc w:val="center"/>
        <w:rPr>
          <w:rFonts w:hint="default" w:ascii="仿宋_GB2312" w:eastAsia="仿宋_GB2312" w:cs="仿宋_GB2312"/>
          <w:sz w:val="21"/>
          <w:szCs w:val="21"/>
        </w:rPr>
      </w:pPr>
      <w:r>
        <w:rPr>
          <w:rStyle w:val="12"/>
          <w:rFonts w:ascii="宋体" w:hAnsi="宋体" w:eastAsia="宋体" w:cs="宋体"/>
          <w:color w:val="000000"/>
          <w:sz w:val="36"/>
          <w:szCs w:val="36"/>
        </w:rPr>
        <w:t>第二部分 2024年部门预算表（详见附件表格）</w:t>
      </w:r>
      <w:r>
        <w:rPr>
          <w:rStyle w:val="12"/>
          <w:rFonts w:hint="default" w:ascii="仿宋_GB2312" w:eastAsia="仿宋_GB2312" w:cs="仿宋_GB2312"/>
          <w:color w:val="000000"/>
          <w:sz w:val="21"/>
          <w:szCs w:val="21"/>
        </w:rPr>
        <w:t xml:space="preserve"> </w:t>
      </w:r>
    </w:p>
    <w:p>
      <w:pPr>
        <w:spacing w:before="0" w:beforeAutospacing="0" w:after="2" w:afterAutospacing="0"/>
        <w:ind w:left="0" w:firstLine="720"/>
        <w:jc w:val="center"/>
        <w:rPr>
          <w:rFonts w:hint="default" w:ascii="仿宋_GB2312" w:eastAsia="仿宋_GB2312" w:cs="仿宋_GB2312"/>
          <w:sz w:val="21"/>
          <w:szCs w:val="21"/>
        </w:rPr>
      </w:pP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1、收支总表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2、收入总表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3、支出总表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4、财政拨款收支总表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5、一般公共预算支出表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6、一般公共预算基本支出表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7、一般公共预算“三公”经费支出表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8、政府性基金预算支出表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9、项目支出绩效目标表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10、部门整体支出绩效目标表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color w:val="000000"/>
          <w:sz w:val="32"/>
          <w:szCs w:val="32"/>
        </w:rPr>
        <w:t>附件表格：</w:t>
      </w:r>
      <w:r>
        <w:rPr>
          <w:color w:val="000000"/>
        </w:rPr>
        <w:t xml:space="preserve"> </w:t>
      </w:r>
    </w:p>
    <w:p>
      <w:pPr>
        <w:spacing w:before="0" w:beforeAutospacing="0" w:after="2" w:afterAutospacing="0"/>
        <w:ind w:left="1110"/>
      </w:pPr>
      <w:r>
        <w:rPr>
          <w:rFonts w:ascii="宋体" w:hAnsi="宋体" w:eastAsia="宋体" w:cs="宋体"/>
          <w:sz w:val="32"/>
          <w:szCs w:val="32"/>
        </w:rPr>
        <w:fldChar w:fldCharType="begin"/>
      </w:r>
      <w:r>
        <w:rPr>
          <w:rFonts w:ascii="宋体" w:hAnsi="宋体" w:eastAsia="宋体" w:cs="宋体"/>
          <w:sz w:val="32"/>
          <w:szCs w:val="32"/>
        </w:rPr>
        <w:instrText xml:space="preserve"> HYPERLINK "http://222.247.255.179:9001/home/downloadAttachment?attachGUID=70ee9ec713bf4888a05a97c8d40e7cfa" \t "_blank" </w:instrText>
      </w:r>
      <w:r>
        <w:rPr>
          <w:rFonts w:ascii="宋体" w:hAnsi="宋体" w:eastAsia="宋体" w:cs="宋体"/>
          <w:sz w:val="32"/>
          <w:szCs w:val="32"/>
        </w:rPr>
        <w:fldChar w:fldCharType="separate"/>
      </w:r>
      <w:r>
        <w:rPr>
          <w:rStyle w:val="13"/>
          <w:rFonts w:ascii="宋体" w:hAnsi="宋体" w:eastAsia="宋体" w:cs="宋体"/>
          <w:sz w:val="32"/>
          <w:szCs w:val="32"/>
        </w:rPr>
        <w:t>2024年部门预算公开表.xlsx</w:t>
      </w:r>
      <w:r>
        <w:rPr>
          <w:rFonts w:ascii="宋体" w:hAnsi="宋体" w:eastAsia="宋体" w:cs="宋体"/>
          <w:sz w:val="32"/>
          <w:szCs w:val="32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spacing w:before="0" w:beforeAutospacing="0" w:after="2" w:afterAutospacing="0"/>
      </w:pPr>
    </w:p>
    <w:p>
      <w:pPr>
        <w:spacing w:before="0" w:beforeAutospacing="0" w:after="2" w:afterAutospacing="0"/>
        <w:ind w:left="0" w:firstLine="660"/>
        <w:rPr>
          <w:rFonts w:hint="default" w:ascii="仿宋_GB2312" w:eastAsia="仿宋_GB2312" w:cs="仿宋_GB2312"/>
          <w:sz w:val="21"/>
          <w:szCs w:val="21"/>
        </w:rPr>
      </w:pPr>
    </w:p>
    <w:sectPr>
      <w:pgSz w:w="11906" w:h="16839"/>
      <w:pgMar w:top="1440" w:right="1800" w:bottom="1440" w:left="180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variable"/>
    <w:sig w:usb0="A00006FF" w:usb1="4000205B" w:usb2="0000001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6000009F" w:csb1="DFD7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fixed"/>
    <w:sig w:usb0="0000028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新宋体">
    <w:panose1 w:val="02010609030101010101"/>
    <w:charset w:val="86"/>
    <w:family w:val="auto"/>
    <w:pitch w:val="fixed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e69b55ce-a727-4bff-ab84-5a8080903678"/>
  </w:docVars>
  <w:rsids>
    <w:rsidRoot w:val="00000000"/>
    <w:rsid w:val="5AF065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widowControl/>
      <w:spacing w:before="0" w:beforeAutospacing="1" w:after="0" w:afterAutospacing="1"/>
      <w:ind w:left="0" w:right="0"/>
      <w:jc w:val="left"/>
    </w:pPr>
    <w:rPr>
      <w:rFonts w:hint="default" w:ascii="宋体" w:hAnsi="宋体" w:eastAsia="宋体" w:cs="宋体"/>
      <w:kern w:val="0"/>
      <w:sz w:val="24"/>
      <w:szCs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iPriority w:val="0"/>
    <w:rPr>
      <w:color w:val="0000FF"/>
      <w:u w:val="single"/>
    </w:rPr>
  </w:style>
  <w:style w:type="paragraph" w:customStyle="1" w:styleId="14">
    <w:name w:val="18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2824</Words>
  <Characters>3011</Characters>
  <TotalTime>85</TotalTime>
  <ScaleCrop>false</ScaleCrop>
  <LinksUpToDate>false</LinksUpToDate>
  <CharactersWithSpaces>3106</CharactersWithSpaces>
  <Application>WPS Office_11.1.0.12650_F1E327BC-269C-435d-A152-05C5408002CA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2024-05-21T03:24:25Z</dcterms:created>
  <dc:creator>Administrator</dc:creator>
  <cp:lastModifiedBy>刘敉君</cp:lastModifiedBy>
  <dcterms:modified xsi:type="dcterms:W3CDTF">2024-05-21T08:02:04Z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9E1B11ED4ED1484CB2A264AC35021FBE</vt:lpwstr>
  </property>
</Properties>
</file>