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left="91"/>
        <w:jc w:val="center"/>
        <w:rPr>
          <w:rFonts w:ascii="Times New Roman" w:hAnsi="Times New Roman" w:eastAsia="方正小标宋简体"/>
          <w:kern w:val="0"/>
          <w:sz w:val="44"/>
          <w:szCs w:val="44"/>
        </w:rPr>
      </w:pPr>
      <w:r>
        <w:rPr>
          <w:rFonts w:hint="eastAsia" w:ascii="Times New Roman" w:hAnsi="Times New Roman" w:eastAsia="方正小标宋简体"/>
          <w:spacing w:val="-17"/>
          <w:kern w:val="0"/>
          <w:sz w:val="44"/>
          <w:szCs w:val="44"/>
          <w:u w:val="single"/>
        </w:rPr>
        <w:t>区委老</w:t>
      </w:r>
      <w:bookmarkStart w:id="0" w:name="_GoBack"/>
      <w:bookmarkEnd w:id="0"/>
      <w:r>
        <w:rPr>
          <w:rFonts w:hint="eastAsia" w:ascii="Times New Roman" w:hAnsi="Times New Roman" w:eastAsia="方正小标宋简体"/>
          <w:spacing w:val="-17"/>
          <w:kern w:val="0"/>
          <w:sz w:val="44"/>
          <w:szCs w:val="44"/>
          <w:u w:val="single"/>
        </w:rPr>
        <w:t>干部局</w:t>
      </w:r>
      <w:r>
        <w:rPr>
          <w:rFonts w:hint="eastAsia" w:ascii="Times New Roman" w:hAnsi="Times New Roman" w:eastAsia="方正小标宋简体"/>
          <w:spacing w:val="-17"/>
          <w:kern w:val="0"/>
          <w:sz w:val="44"/>
          <w:szCs w:val="44"/>
        </w:rPr>
        <w:t>部门整体支出绩效评价自评表</w:t>
      </w:r>
    </w:p>
    <w:tbl>
      <w:tblPr>
        <w:tblStyle w:val="2"/>
        <w:tblW w:w="0" w:type="auto"/>
        <w:jc w:val="center"/>
        <w:tblLayout w:type="fixed"/>
        <w:tblCellMar>
          <w:top w:w="0" w:type="dxa"/>
          <w:left w:w="108" w:type="dxa"/>
          <w:bottom w:w="0" w:type="dxa"/>
          <w:right w:w="108" w:type="dxa"/>
        </w:tblCellMar>
      </w:tblPr>
      <w:tblGrid>
        <w:gridCol w:w="648"/>
        <w:gridCol w:w="416"/>
        <w:gridCol w:w="673"/>
        <w:gridCol w:w="416"/>
        <w:gridCol w:w="1072"/>
        <w:gridCol w:w="416"/>
        <w:gridCol w:w="2324"/>
        <w:gridCol w:w="3153"/>
        <w:gridCol w:w="533"/>
        <w:gridCol w:w="1085"/>
      </w:tblGrid>
      <w:tr>
        <w:tblPrEx>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一级指标</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673"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二级指标</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三级</w:t>
            </w:r>
          </w:p>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232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评价标准</w:t>
            </w:r>
          </w:p>
        </w:tc>
        <w:tc>
          <w:tcPr>
            <w:tcW w:w="3153"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指标说明</w:t>
            </w:r>
          </w:p>
        </w:tc>
        <w:tc>
          <w:tcPr>
            <w:tcW w:w="533"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w:t>
            </w:r>
          </w:p>
        </w:tc>
        <w:tc>
          <w:tcPr>
            <w:tcW w:w="1085" w:type="dxa"/>
            <w:tcBorders>
              <w:top w:val="single" w:color="auto" w:sz="4" w:space="0"/>
              <w:left w:val="nil"/>
              <w:bottom w:val="single" w:color="auto" w:sz="4" w:space="0"/>
              <w:right w:val="single" w:color="auto" w:sz="4" w:space="0"/>
            </w:tcBorders>
            <w:noWrap w:val="0"/>
            <w:vAlign w:val="top"/>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得分依据</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投入</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在职人员控制率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nil"/>
              <w:right w:val="nil"/>
            </w:tcBorders>
            <w:noWrap w:val="0"/>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以</w:t>
            </w:r>
            <w:r>
              <w:rPr>
                <w:rFonts w:ascii="Times New Roman" w:hAnsi="Times New Roman"/>
                <w:kern w:val="0"/>
                <w:sz w:val="20"/>
                <w:szCs w:val="20"/>
              </w:rPr>
              <w:t>100%</w:t>
            </w:r>
            <w:r>
              <w:rPr>
                <w:rFonts w:hint="eastAsia" w:ascii="Times New Roman" w:hAnsi="Times New Roman"/>
                <w:kern w:val="0"/>
                <w:sz w:val="20"/>
                <w:szCs w:val="20"/>
              </w:rPr>
              <w:t>为标准。在职人员控制率</w:t>
            </w:r>
            <w:r>
              <w:rPr>
                <w:rFonts w:hint="eastAsia" w:ascii="宋体" w:hAnsi="宋体" w:eastAsia="宋体" w:cs="宋体"/>
                <w:kern w:val="0"/>
                <w:sz w:val="20"/>
                <w:szCs w:val="20"/>
              </w:rPr>
              <w:t>≦</w:t>
            </w:r>
            <w:r>
              <w:rPr>
                <w:rFonts w:ascii="Times New Roman" w:hAnsi="Times New Roman"/>
                <w:kern w:val="0"/>
                <w:sz w:val="20"/>
                <w:szCs w:val="20"/>
              </w:rPr>
              <w:t>100%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分；每超过一个百分点扣</w:t>
            </w:r>
            <w:r>
              <w:rPr>
                <w:rFonts w:ascii="Times New Roman" w:hAnsi="Times New Roman"/>
                <w:kern w:val="0"/>
                <w:sz w:val="20"/>
                <w:szCs w:val="20"/>
              </w:rPr>
              <w:t>0.5</w:t>
            </w:r>
            <w:r>
              <w:rPr>
                <w:rFonts w:hint="eastAsia" w:ascii="Times New Roman" w:hAnsi="Times New Roman"/>
                <w:kern w:val="0"/>
                <w:sz w:val="20"/>
                <w:szCs w:val="20"/>
              </w:rPr>
              <w:t>分，扣完为止。</w:t>
            </w:r>
          </w:p>
        </w:tc>
        <w:tc>
          <w:tcPr>
            <w:tcW w:w="3153" w:type="dxa"/>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在职人员控制率</w:t>
            </w:r>
            <w:r>
              <w:rPr>
                <w:rFonts w:ascii="Times New Roman" w:hAnsi="Times New Roman"/>
                <w:kern w:val="0"/>
                <w:sz w:val="20"/>
                <w:szCs w:val="20"/>
              </w:rPr>
              <w:t>=</w:t>
            </w:r>
            <w:r>
              <w:rPr>
                <w:rFonts w:hint="eastAsia" w:ascii="Times New Roman" w:hAnsi="Times New Roman"/>
                <w:kern w:val="0"/>
                <w:sz w:val="20"/>
                <w:szCs w:val="20"/>
              </w:rPr>
              <w:t>（在职人员数</w:t>
            </w:r>
            <w:r>
              <w:rPr>
                <w:rFonts w:ascii="Times New Roman" w:hAnsi="Times New Roman"/>
                <w:kern w:val="0"/>
                <w:sz w:val="20"/>
                <w:szCs w:val="20"/>
              </w:rPr>
              <w:t>/</w:t>
            </w:r>
            <w:r>
              <w:rPr>
                <w:rFonts w:hint="eastAsia" w:ascii="Times New Roman" w:hAnsi="Times New Roman"/>
                <w:kern w:val="0"/>
                <w:sz w:val="20"/>
                <w:szCs w:val="20"/>
              </w:rPr>
              <w:t>编制数）</w:t>
            </w:r>
            <w:r>
              <w:rPr>
                <w:rFonts w:ascii="Times New Roman" w:hAnsi="Times New Roman"/>
                <w:kern w:val="0"/>
                <w:sz w:val="20"/>
                <w:szCs w:val="20"/>
              </w:rPr>
              <w:t>×100%</w:t>
            </w:r>
            <w:r>
              <w:rPr>
                <w:rFonts w:hint="eastAsia" w:ascii="Times New Roman" w:hAnsi="Times New Roman"/>
                <w:kern w:val="0"/>
                <w:sz w:val="20"/>
                <w:szCs w:val="20"/>
              </w:rPr>
              <w:t>，在职人员数：部门（单位）实际在职人数。</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编制数：机构编制部门核定批复的部门（单位）的人员编制数。</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5</w:t>
            </w:r>
          </w:p>
        </w:tc>
        <w:tc>
          <w:tcPr>
            <w:tcW w:w="1085" w:type="dxa"/>
            <w:tcBorders>
              <w:top w:val="nil"/>
              <w:left w:val="nil"/>
              <w:bottom w:val="single" w:color="auto" w:sz="4" w:space="0"/>
              <w:right w:val="single" w:color="auto" w:sz="4" w:space="0"/>
            </w:tcBorders>
            <w:noWrap w:val="0"/>
            <w:vAlign w:val="top"/>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2018</w:t>
            </w:r>
            <w:r>
              <w:rPr>
                <w:rFonts w:hint="eastAsia" w:ascii="Times New Roman" w:hAnsi="Times New Roman"/>
                <w:kern w:val="0"/>
                <w:sz w:val="20"/>
                <w:szCs w:val="20"/>
              </w:rPr>
              <w:t>年度没有超编</w:t>
            </w:r>
          </w:p>
        </w:tc>
      </w:tr>
      <w:tr>
        <w:tblPrEx>
          <w:tblCellMar>
            <w:top w:w="0" w:type="dxa"/>
            <w:left w:w="108" w:type="dxa"/>
            <w:bottom w:w="0" w:type="dxa"/>
            <w:right w:w="108" w:type="dxa"/>
          </w:tblCellMar>
        </w:tblPrEx>
        <w:trPr>
          <w:trHeight w:val="1095" w:hRule="atLeast"/>
          <w:jc w:val="center"/>
        </w:trPr>
        <w:tc>
          <w:tcPr>
            <w:tcW w:w="648"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变动率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hint="eastAsia" w:ascii="宋体" w:hAnsi="宋体" w:eastAsia="宋体" w:cs="宋体"/>
                <w:kern w:val="0"/>
                <w:sz w:val="20"/>
                <w:szCs w:val="20"/>
              </w:rPr>
              <w:t>≦</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8</w:t>
            </w:r>
            <w:r>
              <w:rPr>
                <w:rFonts w:hint="eastAsia" w:ascii="Times New Roman" w:hAnsi="Times New Roman"/>
                <w:kern w:val="0"/>
                <w:sz w:val="20"/>
                <w:szCs w:val="20"/>
              </w:rPr>
              <w:t>分；</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0</w:t>
            </w:r>
            <w:r>
              <w:rPr>
                <w:rFonts w:hint="eastAsia" w:ascii="Times New Roman" w:hAnsi="Times New Roman"/>
                <w:kern w:val="0"/>
                <w:sz w:val="20"/>
                <w:szCs w:val="20"/>
              </w:rPr>
              <w:t>，每超过一个百分点扣</w:t>
            </w:r>
            <w:r>
              <w:rPr>
                <w:rFonts w:ascii="Times New Roman" w:hAnsi="Times New Roman"/>
                <w:kern w:val="0"/>
                <w:sz w:val="20"/>
                <w:szCs w:val="20"/>
              </w:rPr>
              <w:t>0.8</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0"/>
                <w:szCs w:val="20"/>
              </w:rPr>
              <w:t>（本年度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]×100%</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8</w:t>
            </w:r>
          </w:p>
        </w:tc>
        <w:tc>
          <w:tcPr>
            <w:tcW w:w="1085" w:type="dxa"/>
            <w:tcBorders>
              <w:top w:val="nil"/>
              <w:left w:val="nil"/>
              <w:bottom w:val="single" w:color="auto" w:sz="4" w:space="0"/>
              <w:right w:val="single" w:color="auto" w:sz="4" w:space="0"/>
            </w:tcBorders>
            <w:noWrap w:val="0"/>
            <w:vAlign w:val="top"/>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w:t>
            </w:r>
            <w:r>
              <w:rPr>
                <w:rFonts w:ascii="Times New Roman" w:hAnsi="Times New Roman"/>
                <w:kern w:val="0"/>
                <w:sz w:val="20"/>
                <w:szCs w:val="20"/>
              </w:rPr>
              <w:t>27-27</w:t>
            </w:r>
            <w:r>
              <w:rPr>
                <w:rFonts w:hint="eastAsia" w:ascii="Times New Roman" w:hAnsi="Times New Roman"/>
                <w:kern w:val="0"/>
                <w:sz w:val="20"/>
                <w:szCs w:val="20"/>
              </w:rPr>
              <w:t>）</w:t>
            </w:r>
            <w:r>
              <w:rPr>
                <w:rFonts w:ascii="Arial" w:hAnsi="Arial" w:cs="Arial"/>
                <w:kern w:val="0"/>
                <w:sz w:val="20"/>
                <w:szCs w:val="20"/>
              </w:rPr>
              <w:t>÷</w:t>
            </w:r>
            <w:r>
              <w:rPr>
                <w:rFonts w:ascii="Times New Roman" w:hAnsi="Times New Roman"/>
                <w:kern w:val="0"/>
                <w:sz w:val="20"/>
                <w:szCs w:val="20"/>
              </w:rPr>
              <w:t>27=0</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完成率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noWrap w:val="0"/>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计满分，每低于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预算完成率</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年末结余</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×100%</w:t>
            </w:r>
            <w:r>
              <w:rPr>
                <w:rFonts w:hint="eastAsia" w:ascii="Times New Roman" w:hAnsi="Times New Roman"/>
                <w:kern w:val="0"/>
                <w:sz w:val="20"/>
                <w:szCs w:val="20"/>
              </w:rPr>
              <w:t>。</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5</w:t>
            </w:r>
          </w:p>
        </w:tc>
        <w:tc>
          <w:tcPr>
            <w:tcW w:w="1085" w:type="dxa"/>
            <w:tcBorders>
              <w:top w:val="nil"/>
              <w:left w:val="nil"/>
              <w:bottom w:val="single" w:color="auto" w:sz="4" w:space="0"/>
              <w:right w:val="single" w:color="auto" w:sz="4" w:space="0"/>
            </w:tcBorders>
            <w:noWrap w:val="0"/>
            <w:vAlign w:val="top"/>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2018</w:t>
            </w:r>
            <w:r>
              <w:rPr>
                <w:rFonts w:hint="eastAsia" w:ascii="Times New Roman" w:hAnsi="Times New Roman"/>
                <w:kern w:val="0"/>
                <w:sz w:val="20"/>
                <w:szCs w:val="20"/>
              </w:rPr>
              <w:t>年没有结转及追加预算</w:t>
            </w:r>
          </w:p>
        </w:tc>
      </w:tr>
      <w:tr>
        <w:tblPrEx>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w:t>
            </w:r>
            <w:r>
              <w:rPr>
                <w:rFonts w:ascii="Times New Roman" w:hAnsi="Times New Roman"/>
                <w:kern w:val="0"/>
                <w:sz w:val="20"/>
                <w:szCs w:val="20"/>
              </w:rPr>
              <w:t>0-10%</w:t>
            </w:r>
            <w:r>
              <w:rPr>
                <w:rFonts w:hint="eastAsia" w:ascii="Times New Roman" w:hAnsi="Times New Roman"/>
                <w:kern w:val="0"/>
                <w:sz w:val="20"/>
                <w:szCs w:val="20"/>
              </w:rPr>
              <w:t>（含），计</w:t>
            </w:r>
            <w:r>
              <w:rPr>
                <w:rFonts w:ascii="Times New Roman" w:hAnsi="Times New Roman"/>
                <w:kern w:val="0"/>
                <w:sz w:val="20"/>
                <w:szCs w:val="20"/>
              </w:rPr>
              <w:t>4</w:t>
            </w:r>
            <w:r>
              <w:rPr>
                <w:rFonts w:hint="eastAsia" w:ascii="Times New Roman" w:hAnsi="Times New Roman"/>
                <w:kern w:val="0"/>
                <w:sz w:val="20"/>
                <w:szCs w:val="20"/>
              </w:rPr>
              <w:t>分；</w:t>
            </w:r>
            <w:r>
              <w:rPr>
                <w:rFonts w:ascii="Times New Roman" w:hAnsi="Times New Roman"/>
                <w:kern w:val="0"/>
                <w:sz w:val="20"/>
                <w:szCs w:val="20"/>
              </w:rPr>
              <w:t>10-20%</w:t>
            </w:r>
            <w:r>
              <w:rPr>
                <w:rFonts w:hint="eastAsia" w:ascii="Times New Roman" w:hAnsi="Times New Roman"/>
                <w:kern w:val="0"/>
                <w:sz w:val="20"/>
                <w:szCs w:val="20"/>
              </w:rPr>
              <w:t>（含），计</w:t>
            </w:r>
            <w:r>
              <w:rPr>
                <w:rFonts w:ascii="Times New Roman" w:hAnsi="Times New Roman"/>
                <w:kern w:val="0"/>
                <w:sz w:val="20"/>
                <w:szCs w:val="20"/>
              </w:rPr>
              <w:t>3</w:t>
            </w:r>
            <w:r>
              <w:rPr>
                <w:rFonts w:hint="eastAsia" w:ascii="Times New Roman" w:hAnsi="Times New Roman"/>
                <w:kern w:val="0"/>
                <w:sz w:val="20"/>
                <w:szCs w:val="20"/>
              </w:rPr>
              <w:t>分；</w:t>
            </w:r>
            <w:r>
              <w:rPr>
                <w:rFonts w:ascii="Times New Roman" w:hAnsi="Times New Roman"/>
                <w:kern w:val="0"/>
                <w:sz w:val="20"/>
                <w:szCs w:val="20"/>
              </w:rPr>
              <w:t>20-30%</w:t>
            </w:r>
            <w:r>
              <w:rPr>
                <w:rFonts w:hint="eastAsia" w:ascii="Times New Roman" w:hAnsi="Times New Roman"/>
                <w:kern w:val="0"/>
                <w:sz w:val="20"/>
                <w:szCs w:val="20"/>
              </w:rPr>
              <w:t>（含），计</w:t>
            </w:r>
            <w:r>
              <w:rPr>
                <w:rFonts w:ascii="Times New Roman" w:hAnsi="Times New Roman"/>
                <w:kern w:val="0"/>
                <w:sz w:val="20"/>
                <w:szCs w:val="20"/>
              </w:rPr>
              <w:t>2</w:t>
            </w:r>
            <w:r>
              <w:rPr>
                <w:rFonts w:hint="eastAsia" w:ascii="Times New Roman" w:hAnsi="Times New Roman"/>
                <w:kern w:val="0"/>
                <w:sz w:val="20"/>
                <w:szCs w:val="20"/>
              </w:rPr>
              <w:t>分；大于</w:t>
            </w:r>
            <w:r>
              <w:rPr>
                <w:rFonts w:ascii="Times New Roman" w:hAnsi="Times New Roman"/>
                <w:kern w:val="0"/>
                <w:sz w:val="20"/>
                <w:szCs w:val="20"/>
              </w:rPr>
              <w:t>30%</w:t>
            </w:r>
            <w:r>
              <w:rPr>
                <w:rFonts w:hint="eastAsia" w:ascii="Times New Roman" w:hAnsi="Times New Roman"/>
                <w:kern w:val="0"/>
                <w:sz w:val="20"/>
                <w:szCs w:val="20"/>
              </w:rPr>
              <w:t>不得分</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×100%</w:t>
            </w:r>
            <w:r>
              <w:rPr>
                <w:rFonts w:hint="eastAsia" w:ascii="Times New Roman" w:hAnsi="Times New Roman"/>
                <w:kern w:val="0"/>
                <w:sz w:val="20"/>
                <w:szCs w:val="20"/>
              </w:rPr>
              <w:t>。</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5</w:t>
            </w:r>
          </w:p>
        </w:tc>
        <w:tc>
          <w:tcPr>
            <w:tcW w:w="1085" w:type="dxa"/>
            <w:tcBorders>
              <w:top w:val="nil"/>
              <w:left w:val="nil"/>
              <w:bottom w:val="single" w:color="auto" w:sz="4" w:space="0"/>
              <w:right w:val="single" w:color="auto" w:sz="4" w:space="0"/>
            </w:tcBorders>
            <w:noWrap w:val="0"/>
            <w:vAlign w:val="top"/>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2018</w:t>
            </w:r>
            <w:r>
              <w:rPr>
                <w:rFonts w:hint="eastAsia" w:ascii="Times New Roman" w:hAnsi="Times New Roman"/>
                <w:kern w:val="0"/>
                <w:sz w:val="20"/>
                <w:szCs w:val="20"/>
              </w:rPr>
              <w:t>年没有追加预算</w:t>
            </w:r>
          </w:p>
        </w:tc>
      </w:tr>
      <w:tr>
        <w:tblPrEx>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新建楼堂馆所面积控制率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noWrap w:val="0"/>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分，扣完为止。没有楼梯馆所项目的部门按满分计算</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楼堂馆所面积控制率</w:t>
            </w:r>
            <w:r>
              <w:rPr>
                <w:rFonts w:ascii="Times New Roman" w:hAnsi="Times New Roman"/>
                <w:kern w:val="0"/>
                <w:sz w:val="20"/>
                <w:szCs w:val="20"/>
              </w:rPr>
              <w:t>=</w:t>
            </w:r>
            <w:r>
              <w:rPr>
                <w:rFonts w:hint="eastAsia" w:ascii="Times New Roman" w:hAnsi="Times New Roman"/>
                <w:kern w:val="0"/>
                <w:sz w:val="20"/>
                <w:szCs w:val="20"/>
              </w:rPr>
              <w:t>实际建设面积</w:t>
            </w:r>
            <w:r>
              <w:rPr>
                <w:rFonts w:ascii="Times New Roman" w:hAnsi="Times New Roman"/>
                <w:kern w:val="0"/>
                <w:sz w:val="20"/>
                <w:szCs w:val="20"/>
              </w:rPr>
              <w:t>/</w:t>
            </w:r>
            <w:r>
              <w:rPr>
                <w:rFonts w:hint="eastAsia" w:ascii="Times New Roman" w:hAnsi="Times New Roman"/>
                <w:kern w:val="0"/>
                <w:sz w:val="20"/>
                <w:szCs w:val="20"/>
              </w:rPr>
              <w:t>批准建设面积</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5</w:t>
            </w:r>
          </w:p>
        </w:tc>
        <w:tc>
          <w:tcPr>
            <w:tcW w:w="1085" w:type="dxa"/>
            <w:tcBorders>
              <w:top w:val="nil"/>
              <w:left w:val="nil"/>
              <w:bottom w:val="single" w:color="auto" w:sz="4" w:space="0"/>
              <w:right w:val="single" w:color="auto" w:sz="4" w:space="0"/>
            </w:tcBorders>
            <w:noWrap w:val="0"/>
            <w:vAlign w:val="top"/>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2018</w:t>
            </w:r>
            <w:r>
              <w:rPr>
                <w:rFonts w:hint="eastAsia" w:ascii="Times New Roman" w:hAnsi="Times New Roman"/>
                <w:kern w:val="0"/>
                <w:sz w:val="20"/>
                <w:szCs w:val="20"/>
              </w:rPr>
              <w:t>年没有新建楼堂管所</w:t>
            </w:r>
          </w:p>
        </w:tc>
      </w:tr>
      <w:tr>
        <w:tblPrEx>
          <w:tblCellMar>
            <w:top w:w="0" w:type="dxa"/>
            <w:left w:w="108" w:type="dxa"/>
            <w:bottom w:w="0" w:type="dxa"/>
            <w:right w:w="108" w:type="dxa"/>
          </w:tblCellMar>
        </w:tblPrEx>
        <w:trPr>
          <w:trHeight w:val="107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新建楼堂馆所投资概算控制率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noWrap w:val="0"/>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楼堂馆所投资预算控制率</w:t>
            </w:r>
            <w:r>
              <w:rPr>
                <w:rFonts w:ascii="Times New Roman" w:hAnsi="Times New Roman"/>
                <w:kern w:val="0"/>
                <w:sz w:val="20"/>
                <w:szCs w:val="20"/>
              </w:rPr>
              <w:t>=</w:t>
            </w:r>
            <w:r>
              <w:rPr>
                <w:rFonts w:hint="eastAsia" w:ascii="Times New Roman" w:hAnsi="Times New Roman"/>
                <w:kern w:val="0"/>
                <w:sz w:val="20"/>
                <w:szCs w:val="20"/>
              </w:rPr>
              <w:t>实际投资金额</w:t>
            </w:r>
            <w:r>
              <w:rPr>
                <w:rFonts w:ascii="Times New Roman" w:hAnsi="Times New Roman"/>
                <w:kern w:val="0"/>
                <w:sz w:val="20"/>
                <w:szCs w:val="20"/>
              </w:rPr>
              <w:t>/</w:t>
            </w:r>
            <w:r>
              <w:rPr>
                <w:rFonts w:hint="eastAsia" w:ascii="Times New Roman" w:hAnsi="Times New Roman"/>
                <w:kern w:val="0"/>
                <w:sz w:val="20"/>
                <w:szCs w:val="20"/>
              </w:rPr>
              <w:t>批准投资金额</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5</w:t>
            </w:r>
          </w:p>
        </w:tc>
        <w:tc>
          <w:tcPr>
            <w:tcW w:w="1085" w:type="dxa"/>
            <w:tcBorders>
              <w:top w:val="nil"/>
              <w:left w:val="nil"/>
              <w:bottom w:val="single" w:color="auto" w:sz="4" w:space="0"/>
              <w:right w:val="single" w:color="auto" w:sz="4" w:space="0"/>
            </w:tcBorders>
            <w:noWrap w:val="0"/>
            <w:vAlign w:val="top"/>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2018</w:t>
            </w:r>
            <w:r>
              <w:rPr>
                <w:rFonts w:hint="eastAsia" w:ascii="Times New Roman" w:hAnsi="Times New Roman"/>
                <w:kern w:val="0"/>
                <w:sz w:val="20"/>
                <w:szCs w:val="20"/>
              </w:rPr>
              <w:t>年没有新建楼堂管所</w:t>
            </w:r>
          </w:p>
        </w:tc>
      </w:tr>
      <w:tr>
        <w:tblPrEx>
          <w:tblCellMar>
            <w:top w:w="0" w:type="dxa"/>
            <w:left w:w="108" w:type="dxa"/>
            <w:bottom w:w="0" w:type="dxa"/>
            <w:right w:w="108" w:type="dxa"/>
          </w:tblCellMar>
        </w:tblPrEx>
        <w:trPr>
          <w:trHeight w:val="1325"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nil"/>
              <w:left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公用经费控制率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noWrap w:val="0"/>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rPr>
              <w:t>（实际支出公用经费总额</w:t>
            </w:r>
            <w:r>
              <w:rPr>
                <w:rFonts w:ascii="Times New Roman" w:hAnsi="Times New Roman"/>
                <w:kern w:val="0"/>
                <w:sz w:val="20"/>
                <w:szCs w:val="20"/>
              </w:rPr>
              <w:t>/</w:t>
            </w:r>
            <w:r>
              <w:rPr>
                <w:rFonts w:hint="eastAsia" w:ascii="Times New Roman" w:hAnsi="Times New Roman"/>
                <w:kern w:val="0"/>
                <w:sz w:val="20"/>
                <w:szCs w:val="20"/>
              </w:rPr>
              <w:t>预算安排公用经费总额）</w:t>
            </w:r>
            <w:r>
              <w:rPr>
                <w:rFonts w:ascii="Times New Roman" w:hAnsi="Times New Roman"/>
                <w:kern w:val="0"/>
                <w:sz w:val="20"/>
                <w:szCs w:val="20"/>
              </w:rPr>
              <w:t>×100%</w:t>
            </w:r>
            <w:r>
              <w:rPr>
                <w:rFonts w:hint="eastAsia" w:ascii="Times New Roman" w:hAnsi="Times New Roman"/>
                <w:kern w:val="0"/>
                <w:sz w:val="20"/>
                <w:szCs w:val="20"/>
              </w:rPr>
              <w:t>。</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公用经费支出是指部门基本支出中的一般商品和服务支出。</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0</w:t>
            </w:r>
          </w:p>
        </w:tc>
        <w:tc>
          <w:tcPr>
            <w:tcW w:w="1085" w:type="dxa"/>
            <w:tcBorders>
              <w:top w:val="nil"/>
              <w:left w:val="nil"/>
              <w:bottom w:val="single" w:color="auto" w:sz="4" w:space="0"/>
              <w:right w:val="single" w:color="auto" w:sz="4" w:space="0"/>
            </w:tcBorders>
            <w:noWrap w:val="0"/>
            <w:vAlign w:val="top"/>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256.16</w:t>
            </w:r>
            <w:r>
              <w:rPr>
                <w:rFonts w:ascii="Arial" w:hAnsi="Arial" w:cs="Arial"/>
                <w:kern w:val="0"/>
                <w:sz w:val="20"/>
                <w:szCs w:val="20"/>
              </w:rPr>
              <w:t>÷</w:t>
            </w:r>
            <w:r>
              <w:rPr>
                <w:rFonts w:ascii="Times New Roman" w:hAnsi="Times New Roman"/>
                <w:kern w:val="0"/>
                <w:sz w:val="20"/>
                <w:szCs w:val="20"/>
              </w:rPr>
              <w:t>219.4</w:t>
            </w:r>
            <w:r>
              <w:rPr>
                <w:rFonts w:ascii="Arial" w:hAnsi="Arial" w:cs="Arial"/>
                <w:kern w:val="0"/>
                <w:sz w:val="20"/>
                <w:szCs w:val="20"/>
              </w:rPr>
              <w:t>×</w:t>
            </w:r>
            <w:r>
              <w:rPr>
                <w:rFonts w:ascii="Times New Roman" w:hAnsi="Times New Roman"/>
                <w:kern w:val="0"/>
                <w:sz w:val="20"/>
                <w:szCs w:val="20"/>
              </w:rPr>
              <w:t>100%=116.75%</w:t>
            </w:r>
          </w:p>
        </w:tc>
      </w:tr>
      <w:tr>
        <w:tblPrEx>
          <w:tblCellMar>
            <w:top w:w="0" w:type="dxa"/>
            <w:left w:w="108" w:type="dxa"/>
            <w:bottom w:w="0" w:type="dxa"/>
            <w:right w:w="108" w:type="dxa"/>
          </w:tblCellMar>
        </w:tblPrEx>
        <w:trPr>
          <w:trHeight w:val="84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实际支出数</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预算安排数）</w:t>
            </w:r>
            <w:r>
              <w:rPr>
                <w:rFonts w:ascii="Times New Roman" w:hAnsi="Times New Roman"/>
                <w:kern w:val="0"/>
                <w:sz w:val="20"/>
                <w:szCs w:val="20"/>
              </w:rPr>
              <w:t>×100%</w:t>
            </w:r>
            <w:r>
              <w:rPr>
                <w:rFonts w:hint="eastAsia" w:ascii="Times New Roman" w:hAnsi="Times New Roman"/>
                <w:kern w:val="0"/>
                <w:sz w:val="20"/>
                <w:szCs w:val="20"/>
              </w:rPr>
              <w:t>。</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8</w:t>
            </w:r>
          </w:p>
        </w:tc>
        <w:tc>
          <w:tcPr>
            <w:tcW w:w="1085" w:type="dxa"/>
            <w:tcBorders>
              <w:top w:val="nil"/>
              <w:left w:val="nil"/>
              <w:bottom w:val="single" w:color="auto" w:sz="4" w:space="0"/>
              <w:right w:val="single" w:color="auto" w:sz="4" w:space="0"/>
            </w:tcBorders>
            <w:noWrap w:val="0"/>
            <w:vAlign w:val="top"/>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12</w:t>
            </w:r>
            <w:r>
              <w:rPr>
                <w:rFonts w:ascii="Arial" w:hAnsi="Arial" w:cs="Arial"/>
                <w:kern w:val="0"/>
                <w:sz w:val="20"/>
                <w:szCs w:val="20"/>
              </w:rPr>
              <w:t>÷</w:t>
            </w:r>
            <w:r>
              <w:rPr>
                <w:rFonts w:ascii="Times New Roman" w:hAnsi="Times New Roman"/>
                <w:kern w:val="0"/>
                <w:sz w:val="20"/>
                <w:szCs w:val="20"/>
              </w:rPr>
              <w:t>27</w:t>
            </w:r>
            <w:r>
              <w:rPr>
                <w:rFonts w:ascii="Arial" w:hAnsi="Arial" w:cs="Arial"/>
                <w:kern w:val="0"/>
                <w:sz w:val="20"/>
                <w:szCs w:val="20"/>
              </w:rPr>
              <w:t>×</w:t>
            </w:r>
            <w:r>
              <w:rPr>
                <w:rFonts w:ascii="Times New Roman" w:hAnsi="Times New Roman"/>
                <w:kern w:val="0"/>
                <w:sz w:val="20"/>
                <w:szCs w:val="20"/>
              </w:rPr>
              <w:t>100%=44%</w:t>
            </w:r>
          </w:p>
        </w:tc>
      </w:tr>
      <w:tr>
        <w:tblPrEx>
          <w:tblCellMar>
            <w:top w:w="0" w:type="dxa"/>
            <w:left w:w="108" w:type="dxa"/>
            <w:bottom w:w="0" w:type="dxa"/>
            <w:right w:w="108" w:type="dxa"/>
          </w:tblCellMar>
        </w:tblPrEx>
        <w:trPr>
          <w:trHeight w:val="870" w:hRule="atLeast"/>
          <w:jc w:val="center"/>
        </w:trPr>
        <w:tc>
          <w:tcPr>
            <w:tcW w:w="648"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auto"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noWrap w:val="0"/>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政府采购执行率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计满分，每超过（降低）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政府采购执行率</w:t>
            </w:r>
            <w:r>
              <w:rPr>
                <w:rFonts w:ascii="Times New Roman" w:hAnsi="Times New Roman"/>
                <w:kern w:val="0"/>
                <w:sz w:val="20"/>
                <w:szCs w:val="20"/>
              </w:rPr>
              <w:t>=</w:t>
            </w:r>
            <w:r>
              <w:rPr>
                <w:rFonts w:hint="eastAsia" w:ascii="Times New Roman" w:hAnsi="Times New Roman"/>
                <w:kern w:val="0"/>
                <w:sz w:val="20"/>
                <w:szCs w:val="20"/>
              </w:rPr>
              <w:t>（实际政府采购金额</w:t>
            </w:r>
            <w:r>
              <w:rPr>
                <w:rFonts w:ascii="Times New Roman" w:hAnsi="Times New Roman"/>
                <w:kern w:val="0"/>
                <w:sz w:val="20"/>
                <w:szCs w:val="20"/>
              </w:rPr>
              <w:t>/</w:t>
            </w:r>
            <w:r>
              <w:rPr>
                <w:rFonts w:hint="eastAsia" w:ascii="Times New Roman" w:hAnsi="Times New Roman"/>
                <w:kern w:val="0"/>
                <w:sz w:val="20"/>
                <w:szCs w:val="20"/>
              </w:rPr>
              <w:t>政府采购预算数）</w:t>
            </w:r>
            <w:r>
              <w:rPr>
                <w:rFonts w:ascii="Times New Roman" w:hAnsi="Times New Roman"/>
                <w:kern w:val="0"/>
                <w:sz w:val="20"/>
                <w:szCs w:val="20"/>
              </w:rPr>
              <w:t xml:space="preserve">×100%                </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0</w:t>
            </w:r>
            <w:r>
              <w:rPr>
                <w:rFonts w:hint="eastAsia" w:ascii="Times New Roman" w:hAnsi="Times New Roman"/>
                <w:kern w:val="0"/>
                <w:sz w:val="24"/>
                <w:szCs w:val="24"/>
              </w:rPr>
              <w:t>　</w:t>
            </w:r>
          </w:p>
        </w:tc>
        <w:tc>
          <w:tcPr>
            <w:tcW w:w="1085" w:type="dxa"/>
            <w:tcBorders>
              <w:top w:val="nil"/>
              <w:left w:val="nil"/>
              <w:bottom w:val="single" w:color="auto" w:sz="4" w:space="0"/>
              <w:right w:val="single" w:color="auto" w:sz="4" w:space="0"/>
            </w:tcBorders>
            <w:noWrap w:val="0"/>
            <w:vAlign w:val="top"/>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2.87</w:t>
            </w:r>
            <w:r>
              <w:rPr>
                <w:rFonts w:ascii="Arial" w:hAnsi="Arial" w:cs="Arial"/>
                <w:kern w:val="0"/>
                <w:sz w:val="20"/>
                <w:szCs w:val="20"/>
              </w:rPr>
              <w:t>÷</w:t>
            </w:r>
            <w:r>
              <w:rPr>
                <w:rFonts w:ascii="Times New Roman" w:hAnsi="Times New Roman"/>
                <w:kern w:val="0"/>
                <w:sz w:val="20"/>
                <w:szCs w:val="20"/>
              </w:rPr>
              <w:t>7</w:t>
            </w:r>
            <w:r>
              <w:rPr>
                <w:rFonts w:ascii="Arial" w:hAnsi="Arial" w:cs="Arial"/>
                <w:kern w:val="0"/>
                <w:sz w:val="20"/>
                <w:szCs w:val="20"/>
              </w:rPr>
              <w:t>×</w:t>
            </w:r>
            <w:r>
              <w:rPr>
                <w:rFonts w:ascii="Times New Roman" w:hAnsi="Times New Roman"/>
                <w:kern w:val="0"/>
                <w:sz w:val="20"/>
                <w:szCs w:val="20"/>
              </w:rPr>
              <w:t>100%=41%</w:t>
            </w:r>
          </w:p>
        </w:tc>
      </w:tr>
      <w:tr>
        <w:tblPrEx>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管理制度健全性</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有内部财务管理制度、会计核算制度等管理制度，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②</w:t>
            </w:r>
            <w:r>
              <w:rPr>
                <w:rFonts w:hint="eastAsia" w:ascii="Times New Roman" w:hAnsi="Times New Roman"/>
                <w:kern w:val="0"/>
                <w:sz w:val="20"/>
                <w:szCs w:val="20"/>
              </w:rPr>
              <w:t>有本部门厉行节约制度，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③</w:t>
            </w:r>
            <w:r>
              <w:rPr>
                <w:rFonts w:hint="eastAsia" w:ascii="Times New Roman" w:hAnsi="Times New Roman"/>
                <w:kern w:val="0"/>
                <w:sz w:val="20"/>
                <w:szCs w:val="20"/>
              </w:rPr>
              <w:t>相关管理制度合法、合规、完整，</w:t>
            </w:r>
            <w:r>
              <w:rPr>
                <w:rFonts w:ascii="Times New Roman" w:hAnsi="Times New Roman"/>
                <w:kern w:val="0"/>
                <w:sz w:val="20"/>
                <w:szCs w:val="20"/>
              </w:rPr>
              <w:t>2</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相关管理制度得到有效执行，</w:t>
            </w:r>
            <w:r>
              <w:rPr>
                <w:rFonts w:ascii="Times New Roman" w:hAnsi="Times New Roman"/>
                <w:kern w:val="0"/>
                <w:sz w:val="20"/>
                <w:szCs w:val="20"/>
              </w:rPr>
              <w:t>2</w:t>
            </w:r>
            <w:r>
              <w:rPr>
                <w:rFonts w:hint="eastAsia" w:ascii="Times New Roman" w:hAnsi="Times New Roman"/>
                <w:kern w:val="0"/>
                <w:sz w:val="20"/>
                <w:szCs w:val="20"/>
              </w:rPr>
              <w:t>分。</w:t>
            </w:r>
          </w:p>
        </w:tc>
        <w:tc>
          <w:tcPr>
            <w:tcW w:w="315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8</w:t>
            </w:r>
            <w:r>
              <w:rPr>
                <w:rFonts w:hint="eastAsia" w:ascii="Times New Roman" w:hAnsi="Times New Roman"/>
                <w:kern w:val="0"/>
                <w:sz w:val="24"/>
                <w:szCs w:val="24"/>
              </w:rPr>
              <w:t>　</w:t>
            </w:r>
          </w:p>
        </w:tc>
        <w:tc>
          <w:tcPr>
            <w:tcW w:w="1085" w:type="dxa"/>
            <w:tcBorders>
              <w:top w:val="nil"/>
              <w:left w:val="nil"/>
              <w:bottom w:val="single" w:color="auto" w:sz="4" w:space="0"/>
              <w:right w:val="single" w:color="auto" w:sz="4" w:space="0"/>
            </w:tcBorders>
            <w:noWrap w:val="0"/>
            <w:vAlign w:val="top"/>
          </w:tcPr>
          <w:p>
            <w:pPr>
              <w:widowControl/>
              <w:spacing w:line="240" w:lineRule="exact"/>
              <w:jc w:val="left"/>
              <w:rPr>
                <w:rFonts w:ascii="Times New Roman" w:hAnsi="Times New Roman"/>
                <w:kern w:val="0"/>
                <w:sz w:val="24"/>
                <w:szCs w:val="24"/>
              </w:rPr>
            </w:pPr>
            <w:r>
              <w:rPr>
                <w:rFonts w:hint="eastAsia" w:ascii="Times New Roman" w:hAnsi="Times New Roman"/>
                <w:spacing w:val="-11"/>
                <w:kern w:val="0"/>
                <w:sz w:val="20"/>
                <w:szCs w:val="20"/>
              </w:rPr>
              <w:t>有内部财务管理制度、会计核算制度，有厉行节约制度，相关制度合法完整，制度有效执行。</w:t>
            </w:r>
          </w:p>
        </w:tc>
      </w:tr>
      <w:tr>
        <w:tblPrEx>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673" w:type="dxa"/>
            <w:vMerge w:val="continue"/>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资金使用合规性</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支出符合国家财经法规和财务管理制度规定以及有关专项资金管理办法的规定；</w:t>
            </w:r>
            <w:r>
              <w:rPr>
                <w:rFonts w:hint="eastAsia" w:ascii="Times New Roman" w:hAnsi="Times New Roman" w:eastAsia="宋体"/>
                <w:kern w:val="0"/>
                <w:sz w:val="20"/>
                <w:szCs w:val="20"/>
              </w:rPr>
              <w:t>②</w:t>
            </w:r>
            <w:r>
              <w:rPr>
                <w:rFonts w:hint="eastAsia" w:ascii="Times New Roman" w:hAnsi="Times New Roman"/>
                <w:kern w:val="0"/>
                <w:sz w:val="20"/>
                <w:szCs w:val="20"/>
              </w:rPr>
              <w:t>资金拨付有完整的审批程序和手续；</w:t>
            </w:r>
            <w:r>
              <w:rPr>
                <w:rFonts w:hint="eastAsia" w:ascii="Times New Roman" w:hAnsi="Times New Roman" w:eastAsia="宋体"/>
                <w:kern w:val="0"/>
                <w:sz w:val="20"/>
                <w:szCs w:val="20"/>
              </w:rPr>
              <w:t>③</w:t>
            </w:r>
            <w:r>
              <w:rPr>
                <w:rFonts w:hint="eastAsia" w:ascii="Times New Roman" w:hAnsi="Times New Roman"/>
                <w:kern w:val="0"/>
                <w:sz w:val="20"/>
                <w:szCs w:val="20"/>
              </w:rPr>
              <w:t>项目支出按规定经过评估论证；</w:t>
            </w:r>
            <w:r>
              <w:rPr>
                <w:rFonts w:hint="eastAsia" w:ascii="Times New Roman" w:hAnsi="Times New Roman" w:eastAsia="宋体"/>
                <w:kern w:val="0"/>
                <w:sz w:val="20"/>
                <w:szCs w:val="20"/>
              </w:rPr>
              <w:t>④</w:t>
            </w:r>
            <w:r>
              <w:rPr>
                <w:rFonts w:hint="eastAsia" w:ascii="Times New Roman" w:hAnsi="Times New Roman"/>
                <w:kern w:val="0"/>
                <w:sz w:val="20"/>
                <w:szCs w:val="20"/>
              </w:rPr>
              <w:t>支出符合部门预算批复的用途；</w:t>
            </w:r>
            <w:r>
              <w:rPr>
                <w:rFonts w:hint="eastAsia" w:ascii="Times New Roman" w:hAnsi="Times New Roman" w:eastAsia="宋体"/>
                <w:kern w:val="0"/>
                <w:sz w:val="20"/>
                <w:szCs w:val="20"/>
              </w:rPr>
              <w:t>⑤</w:t>
            </w:r>
            <w:r>
              <w:rPr>
                <w:rFonts w:hint="eastAsia" w:ascii="Times New Roman" w:hAnsi="Times New Roman"/>
                <w:kern w:val="0"/>
                <w:sz w:val="20"/>
                <w:szCs w:val="20"/>
              </w:rPr>
              <w:t>资金使用无截留、挤占、挪用、虚列支出等情况。</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以上情况每出现一例不符合要求的扣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6</w:t>
            </w:r>
          </w:p>
        </w:tc>
        <w:tc>
          <w:tcPr>
            <w:tcW w:w="1085" w:type="dxa"/>
            <w:tcBorders>
              <w:top w:val="nil"/>
              <w:left w:val="nil"/>
              <w:bottom w:val="single" w:color="auto" w:sz="4" w:space="0"/>
              <w:right w:val="single" w:color="auto" w:sz="4" w:space="0"/>
            </w:tcBorders>
            <w:noWrap w:val="0"/>
            <w:vAlign w:val="top"/>
          </w:tcPr>
          <w:p>
            <w:pPr>
              <w:widowControl/>
              <w:spacing w:line="240" w:lineRule="exact"/>
              <w:jc w:val="left"/>
              <w:rPr>
                <w:rFonts w:ascii="Times New Roman" w:hAnsi="Times New Roman"/>
                <w:kern w:val="0"/>
                <w:sz w:val="24"/>
                <w:szCs w:val="24"/>
              </w:rPr>
            </w:pPr>
            <w:r>
              <w:rPr>
                <w:rFonts w:hint="eastAsia" w:ascii="Times New Roman" w:hAnsi="Times New Roman"/>
                <w:kern w:val="0"/>
                <w:sz w:val="20"/>
                <w:szCs w:val="20"/>
              </w:rPr>
              <w:t>支出符合国家相关规定，资金拨付有完整的审批程序和手续，支出符合批复用途，资金无截留、挤占等情况。</w:t>
            </w:r>
          </w:p>
        </w:tc>
      </w:tr>
      <w:tr>
        <w:tblPrEx>
          <w:tblCellMar>
            <w:top w:w="0" w:type="dxa"/>
            <w:left w:w="108" w:type="dxa"/>
            <w:bottom w:w="0" w:type="dxa"/>
            <w:right w:w="108" w:type="dxa"/>
          </w:tblCellMar>
        </w:tblPrEx>
        <w:trPr>
          <w:trHeight w:val="2175"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vMerge w:val="continue"/>
            <w:tcBorders>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spacing w:val="-17"/>
                <w:kern w:val="0"/>
                <w:sz w:val="20"/>
                <w:szCs w:val="20"/>
              </w:rPr>
              <w:t>预决算信息</w:t>
            </w:r>
            <w:r>
              <w:rPr>
                <w:rFonts w:hint="eastAsia" w:ascii="Times New Roman" w:hAnsi="Times New Roman"/>
                <w:kern w:val="0"/>
                <w:sz w:val="20"/>
                <w:szCs w:val="20"/>
              </w:rPr>
              <w:t>公开性</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按规定内容公开预决算信息，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②</w:t>
            </w:r>
            <w:r>
              <w:rPr>
                <w:rFonts w:hint="eastAsia" w:ascii="Times New Roman" w:hAnsi="Times New Roman"/>
                <w:kern w:val="0"/>
                <w:sz w:val="20"/>
                <w:szCs w:val="20"/>
              </w:rPr>
              <w:t>按规定时限公开预决算信息，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③</w:t>
            </w:r>
            <w:r>
              <w:rPr>
                <w:rFonts w:hint="eastAsia" w:ascii="Times New Roman" w:hAnsi="Times New Roman"/>
                <w:kern w:val="0"/>
                <w:sz w:val="20"/>
                <w:szCs w:val="20"/>
              </w:rPr>
              <w:t>基础数据信息和会计信息资料真实，</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基础数据信息和会计信息资料完整，</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⑤</w:t>
            </w:r>
            <w:r>
              <w:rPr>
                <w:rFonts w:hint="eastAsia" w:ascii="Times New Roman" w:hAnsi="Times New Roman"/>
                <w:kern w:val="0"/>
                <w:sz w:val="20"/>
                <w:szCs w:val="20"/>
              </w:rPr>
              <w:t>基础数据信息和汇集信息资料准确，</w:t>
            </w:r>
            <w:r>
              <w:rPr>
                <w:rFonts w:ascii="Times New Roman" w:hAnsi="Times New Roman"/>
                <w:kern w:val="0"/>
                <w:sz w:val="20"/>
                <w:szCs w:val="20"/>
              </w:rPr>
              <w:t>1</w:t>
            </w:r>
            <w:r>
              <w:rPr>
                <w:rFonts w:hint="eastAsia" w:ascii="Times New Roman" w:hAnsi="Times New Roman"/>
                <w:kern w:val="0"/>
                <w:sz w:val="20"/>
                <w:szCs w:val="20"/>
              </w:rPr>
              <w:t>分。</w:t>
            </w:r>
            <w:r>
              <w:rPr>
                <w:rFonts w:ascii="Times New Roman" w:hAnsi="Times New Roman"/>
                <w:kern w:val="0"/>
                <w:sz w:val="20"/>
                <w:szCs w:val="20"/>
              </w:rPr>
              <w:t xml:space="preserve">  </w:t>
            </w:r>
          </w:p>
        </w:tc>
        <w:tc>
          <w:tcPr>
            <w:tcW w:w="315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5</w:t>
            </w:r>
          </w:p>
        </w:tc>
        <w:tc>
          <w:tcPr>
            <w:tcW w:w="1085" w:type="dxa"/>
            <w:tcBorders>
              <w:top w:val="nil"/>
              <w:left w:val="nil"/>
              <w:bottom w:val="single" w:color="auto" w:sz="4" w:space="0"/>
              <w:right w:val="single" w:color="auto" w:sz="4" w:space="0"/>
            </w:tcBorders>
            <w:noWrap w:val="0"/>
            <w:vAlign w:val="top"/>
          </w:tcPr>
          <w:p>
            <w:pPr>
              <w:widowControl/>
              <w:spacing w:line="240" w:lineRule="exact"/>
              <w:jc w:val="left"/>
              <w:rPr>
                <w:rFonts w:ascii="Times New Roman" w:hAnsi="Times New Roman"/>
                <w:kern w:val="0"/>
                <w:sz w:val="24"/>
                <w:szCs w:val="24"/>
              </w:rPr>
            </w:pPr>
            <w:r>
              <w:rPr>
                <w:rFonts w:hint="eastAsia" w:ascii="Times New Roman" w:hAnsi="Times New Roman"/>
                <w:kern w:val="0"/>
                <w:sz w:val="20"/>
                <w:szCs w:val="20"/>
              </w:rPr>
              <w:t>按规定内容、时限公开预算信息，资料真实、完整、准确。</w:t>
            </w:r>
          </w:p>
        </w:tc>
      </w:tr>
      <w:tr>
        <w:tblPrEx>
          <w:tblCellMar>
            <w:top w:w="0" w:type="dxa"/>
            <w:left w:w="108" w:type="dxa"/>
            <w:bottom w:w="0" w:type="dxa"/>
            <w:right w:w="108" w:type="dxa"/>
          </w:tblCellMar>
        </w:tblPrEx>
        <w:trPr>
          <w:trHeight w:val="1615" w:hRule="atLeast"/>
          <w:jc w:val="center"/>
        </w:trPr>
        <w:tc>
          <w:tcPr>
            <w:tcW w:w="648"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职责履行</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1072" w:type="dxa"/>
            <w:tcBorders>
              <w:top w:val="nil"/>
              <w:left w:val="nil"/>
              <w:bottom w:val="nil"/>
              <w:right w:val="single" w:color="auto" w:sz="4" w:space="0"/>
            </w:tcBorders>
            <w:noWrap w:val="0"/>
            <w:vAlign w:val="center"/>
          </w:tcPr>
          <w:p>
            <w:pPr>
              <w:widowControl/>
              <w:spacing w:line="280" w:lineRule="exact"/>
              <w:jc w:val="center"/>
              <w:rPr>
                <w:rFonts w:ascii="Times New Roman" w:hAnsi="Times New Roman"/>
                <w:spacing w:val="-20"/>
                <w:kern w:val="0"/>
                <w:sz w:val="20"/>
                <w:szCs w:val="20"/>
              </w:rPr>
            </w:pPr>
            <w:r>
              <w:rPr>
                <w:rFonts w:hint="eastAsia" w:ascii="Times New Roman" w:hAnsi="Times New Roman"/>
                <w:spacing w:val="-20"/>
                <w:kern w:val="0"/>
                <w:sz w:val="20"/>
                <w:szCs w:val="20"/>
              </w:rPr>
              <w:t>重点工作</w:t>
            </w:r>
          </w:p>
          <w:p>
            <w:pPr>
              <w:widowControl/>
              <w:spacing w:line="280" w:lineRule="exact"/>
              <w:jc w:val="center"/>
              <w:rPr>
                <w:rFonts w:ascii="Times New Roman" w:hAnsi="Times New Roman"/>
                <w:kern w:val="0"/>
                <w:sz w:val="20"/>
                <w:szCs w:val="20"/>
              </w:rPr>
            </w:pPr>
            <w:r>
              <w:rPr>
                <w:rFonts w:hint="eastAsia" w:ascii="Times New Roman" w:hAnsi="Times New Roman"/>
                <w:spacing w:val="-20"/>
                <w:kern w:val="0"/>
                <w:sz w:val="20"/>
                <w:szCs w:val="20"/>
              </w:rPr>
              <w:t>实际完成率</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根据绩效办对各部门为民办实事和部门重点工程与重点工作考核分数折算。</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该项得分</w:t>
            </w:r>
            <w:r>
              <w:rPr>
                <w:rFonts w:ascii="Times New Roman" w:hAnsi="Times New Roman"/>
                <w:kern w:val="0"/>
                <w:sz w:val="20"/>
                <w:szCs w:val="20"/>
              </w:rPr>
              <w:t>=</w:t>
            </w:r>
            <w:r>
              <w:rPr>
                <w:rFonts w:hint="eastAsia" w:ascii="Times New Roman" w:hAnsi="Times New Roman"/>
                <w:kern w:val="0"/>
                <w:sz w:val="20"/>
                <w:szCs w:val="20"/>
              </w:rPr>
              <w:t>（绩效办对应部分考核得分</w:t>
            </w:r>
            <w:r>
              <w:rPr>
                <w:rFonts w:ascii="Times New Roman" w:hAnsi="Times New Roman"/>
                <w:kern w:val="0"/>
                <w:sz w:val="20"/>
                <w:szCs w:val="20"/>
              </w:rPr>
              <w:t>/350</w:t>
            </w:r>
            <w:r>
              <w:rPr>
                <w:rFonts w:hint="eastAsia" w:ascii="Times New Roman" w:hAnsi="Times New Roman"/>
                <w:kern w:val="0"/>
                <w:sz w:val="20"/>
                <w:szCs w:val="20"/>
              </w:rPr>
              <w:t>）</w:t>
            </w:r>
            <w:r>
              <w:rPr>
                <w:rFonts w:ascii="Times New Roman" w:hAnsi="Times New Roman"/>
                <w:kern w:val="0"/>
                <w:sz w:val="20"/>
                <w:szCs w:val="20"/>
              </w:rPr>
              <w:t>*8</w:t>
            </w:r>
          </w:p>
        </w:tc>
        <w:tc>
          <w:tcPr>
            <w:tcW w:w="315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8</w:t>
            </w:r>
          </w:p>
        </w:tc>
        <w:tc>
          <w:tcPr>
            <w:tcW w:w="1085" w:type="dxa"/>
            <w:tcBorders>
              <w:top w:val="nil"/>
              <w:left w:val="nil"/>
              <w:bottom w:val="single" w:color="auto" w:sz="4" w:space="0"/>
              <w:right w:val="single" w:color="auto" w:sz="4" w:space="0"/>
            </w:tcBorders>
            <w:noWrap w:val="0"/>
            <w:vAlign w:val="top"/>
          </w:tcPr>
          <w:p>
            <w:pPr>
              <w:widowControl/>
              <w:spacing w:line="280" w:lineRule="exact"/>
              <w:jc w:val="left"/>
              <w:rPr>
                <w:rFonts w:ascii="Times New Roman" w:hAnsi="Times New Roman"/>
                <w:kern w:val="0"/>
                <w:sz w:val="24"/>
                <w:szCs w:val="24"/>
              </w:rPr>
            </w:pPr>
            <w:r>
              <w:rPr>
                <w:rFonts w:hint="eastAsia" w:ascii="Times New Roman" w:hAnsi="Times New Roman"/>
                <w:kern w:val="0"/>
                <w:sz w:val="20"/>
                <w:szCs w:val="20"/>
              </w:rPr>
              <w:t>我单位没有此项工作</w:t>
            </w:r>
          </w:p>
        </w:tc>
      </w:tr>
      <w:tr>
        <w:tblPrEx>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履职</w:t>
            </w:r>
            <w:r>
              <w:rPr>
                <w:rFonts w:ascii="Times New Roman" w:hAnsi="Times New Roman"/>
                <w:kern w:val="0"/>
                <w:sz w:val="20"/>
                <w:szCs w:val="20"/>
              </w:rPr>
              <w:t xml:space="preserve"> </w:t>
            </w:r>
            <w:r>
              <w:rPr>
                <w:rFonts w:hint="eastAsia" w:ascii="Times New Roman" w:hAnsi="Times New Roman"/>
                <w:kern w:val="0"/>
                <w:sz w:val="20"/>
                <w:szCs w:val="20"/>
              </w:rPr>
              <w:t>效益</w:t>
            </w: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经济效益</w:t>
            </w:r>
          </w:p>
        </w:tc>
        <w:tc>
          <w:tcPr>
            <w:tcW w:w="416" w:type="dxa"/>
            <w:vMerge w:val="restart"/>
            <w:tcBorders>
              <w:top w:val="nil"/>
              <w:left w:val="single" w:color="auto" w:sz="4" w:space="0"/>
              <w:bottom w:val="nil"/>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5477" w:type="dxa"/>
            <w:gridSpan w:val="2"/>
            <w:vMerge w:val="restart"/>
            <w:tcBorders>
              <w:top w:val="single" w:color="auto" w:sz="4" w:space="0"/>
              <w:left w:val="single" w:color="auto" w:sz="4" w:space="0"/>
              <w:bottom w:val="nil"/>
              <w:right w:val="single" w:color="000000" w:sz="4" w:space="0"/>
            </w:tcBorders>
            <w:noWrap w:val="0"/>
            <w:vAlign w:val="center"/>
          </w:tcPr>
          <w:p>
            <w:pPr>
              <w:widowControl/>
              <w:spacing w:line="240" w:lineRule="exact"/>
              <w:jc w:val="left"/>
              <w:rPr>
                <w:rFonts w:ascii="Times New Roman" w:hAnsi="Times New Roman"/>
                <w:kern w:val="0"/>
                <w:sz w:val="20"/>
                <w:szCs w:val="20"/>
              </w:rPr>
            </w:pPr>
            <w:r>
              <w:rPr>
                <w:rFonts w:hint="eastAsia" w:ascii="宋体" w:hAnsi="宋体"/>
                <w:kern w:val="0"/>
                <w:sz w:val="20"/>
                <w:szCs w:val="20"/>
              </w:rPr>
              <w:t>老干部大学2018年开设25个科目43个班级，招收学员1950人次；资助贫困学生，关爱困境青少年；帮扶特殊困难离退休干部及离休干部遗孀；打造一批市级网络课堂示范站点、市级示范性离退休干部党支部、市级“发挥五老作用”示范阵地。</w:t>
            </w:r>
          </w:p>
        </w:tc>
        <w:tc>
          <w:tcPr>
            <w:tcW w:w="533" w:type="dxa"/>
            <w:vMerge w:val="restart"/>
            <w:tcBorders>
              <w:top w:val="nil"/>
              <w:left w:val="nil"/>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6</w:t>
            </w:r>
          </w:p>
        </w:tc>
        <w:tc>
          <w:tcPr>
            <w:tcW w:w="1085" w:type="dxa"/>
            <w:tcBorders>
              <w:top w:val="nil"/>
              <w:left w:val="nil"/>
              <w:right w:val="single" w:color="auto" w:sz="4" w:space="0"/>
            </w:tcBorders>
            <w:noWrap w:val="0"/>
            <w:vAlign w:val="top"/>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trHeight w:val="933"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社会效益</w:t>
            </w:r>
          </w:p>
        </w:tc>
        <w:tc>
          <w:tcPr>
            <w:tcW w:w="416" w:type="dxa"/>
            <w:vMerge w:val="continue"/>
            <w:tcBorders>
              <w:top w:val="nil"/>
              <w:left w:val="single" w:color="auto" w:sz="4" w:space="0"/>
              <w:bottom w:val="nil"/>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5477" w:type="dxa"/>
            <w:gridSpan w:val="2"/>
            <w:vMerge w:val="continue"/>
            <w:tcBorders>
              <w:top w:val="single" w:color="auto" w:sz="4" w:space="0"/>
              <w:left w:val="single" w:color="auto" w:sz="4" w:space="0"/>
              <w:bottom w:val="nil"/>
              <w:right w:val="single" w:color="000000" w:sz="4" w:space="0"/>
            </w:tcBorders>
            <w:noWrap w:val="0"/>
            <w:vAlign w:val="center"/>
          </w:tcPr>
          <w:p>
            <w:pPr>
              <w:widowControl/>
              <w:spacing w:line="240" w:lineRule="exact"/>
              <w:jc w:val="left"/>
              <w:rPr>
                <w:rFonts w:ascii="Times New Roman" w:hAnsi="Times New Roman"/>
                <w:kern w:val="0"/>
                <w:sz w:val="20"/>
                <w:szCs w:val="20"/>
              </w:rPr>
            </w:pPr>
          </w:p>
        </w:tc>
        <w:tc>
          <w:tcPr>
            <w:tcW w:w="533" w:type="dxa"/>
            <w:vMerge w:val="continue"/>
            <w:tcBorders>
              <w:left w:val="nil"/>
              <w:bottom w:val="nil"/>
              <w:right w:val="single" w:color="auto" w:sz="4" w:space="0"/>
            </w:tcBorders>
            <w:noWrap w:val="0"/>
            <w:vAlign w:val="center"/>
          </w:tcPr>
          <w:p>
            <w:pPr>
              <w:widowControl/>
              <w:spacing w:line="280" w:lineRule="exact"/>
              <w:jc w:val="left"/>
              <w:rPr>
                <w:rFonts w:ascii="Times New Roman" w:hAnsi="Times New Roman"/>
                <w:kern w:val="0"/>
                <w:sz w:val="24"/>
                <w:szCs w:val="24"/>
              </w:rPr>
            </w:pPr>
          </w:p>
        </w:tc>
        <w:tc>
          <w:tcPr>
            <w:tcW w:w="1085" w:type="dxa"/>
            <w:tcBorders>
              <w:left w:val="nil"/>
              <w:bottom w:val="nil"/>
              <w:right w:val="single" w:color="auto" w:sz="4" w:space="0"/>
            </w:tcBorders>
            <w:noWrap w:val="0"/>
            <w:vAlign w:val="top"/>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lang w:val="en-US" w:eastAsia="zh-CN"/>
              </w:rPr>
              <w:t>100%</w:t>
            </w:r>
          </w:p>
        </w:tc>
      </w:tr>
      <w:tr>
        <w:tblPrEx>
          <w:tblCellMar>
            <w:top w:w="0" w:type="dxa"/>
            <w:left w:w="108" w:type="dxa"/>
            <w:bottom w:w="0" w:type="dxa"/>
            <w:right w:w="108" w:type="dxa"/>
          </w:tblCellMar>
        </w:tblPrEx>
        <w:trPr>
          <w:trHeight w:val="187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1072"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行政效能</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hint="eastAsia" w:ascii="Times New Roman" w:hAnsi="Times New Roman"/>
                <w:kern w:val="0"/>
                <w:sz w:val="20"/>
                <w:szCs w:val="20"/>
              </w:rPr>
              <w:t>分；一般</w:t>
            </w:r>
            <w:r>
              <w:rPr>
                <w:rFonts w:ascii="Times New Roman" w:hAnsi="Times New Roman"/>
                <w:kern w:val="0"/>
                <w:sz w:val="20"/>
                <w:szCs w:val="20"/>
              </w:rPr>
              <w:t>3</w:t>
            </w:r>
            <w:r>
              <w:rPr>
                <w:rFonts w:hint="eastAsia" w:ascii="Times New Roman" w:hAnsi="Times New Roman"/>
                <w:kern w:val="0"/>
                <w:sz w:val="20"/>
                <w:szCs w:val="20"/>
              </w:rPr>
              <w:t>分；无效果或者效果不明显</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根据部门自评材料评定。</w:t>
            </w:r>
          </w:p>
        </w:tc>
        <w:tc>
          <w:tcPr>
            <w:tcW w:w="533"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6</w:t>
            </w:r>
          </w:p>
        </w:tc>
        <w:tc>
          <w:tcPr>
            <w:tcW w:w="1085" w:type="dxa"/>
            <w:tcBorders>
              <w:top w:val="single" w:color="auto" w:sz="4" w:space="0"/>
              <w:left w:val="nil"/>
              <w:bottom w:val="single" w:color="auto" w:sz="4" w:space="0"/>
              <w:right w:val="single" w:color="auto" w:sz="4" w:space="0"/>
            </w:tcBorders>
            <w:noWrap w:val="0"/>
            <w:vAlign w:val="top"/>
          </w:tcPr>
          <w:p>
            <w:pPr>
              <w:widowControl/>
              <w:spacing w:line="240" w:lineRule="exact"/>
              <w:jc w:val="left"/>
              <w:rPr>
                <w:rFonts w:hint="eastAsia" w:eastAsia="仿宋_GB2312"/>
                <w:color w:val="auto"/>
                <w:kern w:val="0"/>
                <w:sz w:val="20"/>
                <w:szCs w:val="20"/>
                <w:lang w:val="en-US" w:eastAsia="zh-CN"/>
              </w:rPr>
            </w:pPr>
            <w:r>
              <w:rPr>
                <w:rFonts w:hint="eastAsia"/>
                <w:color w:val="auto"/>
                <w:kern w:val="0"/>
                <w:sz w:val="20"/>
                <w:szCs w:val="20"/>
                <w:lang w:eastAsia="zh-CN"/>
              </w:rPr>
              <w:t>切实改进文风会风，</w:t>
            </w:r>
            <w:r>
              <w:rPr>
                <w:rFonts w:hint="eastAsia" w:ascii="Times New Roman" w:hAnsi="Times New Roman"/>
                <w:kern w:val="0"/>
                <w:sz w:val="20"/>
                <w:szCs w:val="20"/>
                <w:lang w:val="en-US" w:eastAsia="zh-CN"/>
              </w:rPr>
              <w:t>2018</w:t>
            </w:r>
            <w:r>
              <w:rPr>
                <w:rFonts w:hint="eastAsia"/>
                <w:color w:val="auto"/>
                <w:kern w:val="0"/>
                <w:sz w:val="20"/>
                <w:szCs w:val="20"/>
                <w:lang w:val="en-US" w:eastAsia="zh-CN"/>
              </w:rPr>
              <w:t>年印发文件数大幅减少，全年没有召开大型会议。</w:t>
            </w:r>
          </w:p>
        </w:tc>
      </w:tr>
      <w:tr>
        <w:tblPrEx>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nil"/>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nil"/>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nil"/>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nil"/>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nil"/>
              <w:right w:val="single" w:color="auto" w:sz="4" w:space="0"/>
            </w:tcBorders>
            <w:noWrap w:val="0"/>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社会公众或服务对象满意度</w:t>
            </w:r>
          </w:p>
        </w:tc>
        <w:tc>
          <w:tcPr>
            <w:tcW w:w="416" w:type="dxa"/>
            <w:tcBorders>
              <w:top w:val="nil"/>
              <w:left w:val="nil"/>
              <w:bottom w:val="nil"/>
              <w:right w:val="single" w:color="auto" w:sz="4" w:space="0"/>
            </w:tcBorders>
            <w:noWrap w:val="0"/>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nil"/>
              <w:right w:val="single" w:color="auto" w:sz="4" w:space="0"/>
            </w:tcBorders>
            <w:noWrap w:val="0"/>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hint="eastAsia" w:ascii="Times New Roman" w:hAnsi="Times New Roman"/>
                <w:kern w:val="0"/>
                <w:sz w:val="20"/>
                <w:szCs w:val="20"/>
              </w:rPr>
              <w:t>（含）以上计</w:t>
            </w:r>
            <w:r>
              <w:rPr>
                <w:rFonts w:ascii="Times New Roman" w:hAnsi="Times New Roman"/>
                <w:kern w:val="0"/>
                <w:sz w:val="20"/>
                <w:szCs w:val="20"/>
              </w:rPr>
              <w:t>6</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hint="eastAsia" w:ascii="Times New Roman" w:hAnsi="Times New Roman"/>
                <w:kern w:val="0"/>
                <w:sz w:val="20"/>
                <w:szCs w:val="20"/>
              </w:rPr>
              <w:t>（含）</w:t>
            </w:r>
            <w:r>
              <w:rPr>
                <w:rFonts w:ascii="Times New Roman" w:hAnsi="Times New Roman"/>
                <w:kern w:val="0"/>
                <w:sz w:val="20"/>
                <w:szCs w:val="20"/>
              </w:rPr>
              <w:t>-90%</w:t>
            </w:r>
            <w:r>
              <w:rPr>
                <w:rFonts w:hint="eastAsia" w:ascii="Times New Roman" w:hAnsi="Times New Roman"/>
                <w:kern w:val="0"/>
                <w:sz w:val="20"/>
                <w:szCs w:val="20"/>
              </w:rPr>
              <w:t>，计</w:t>
            </w:r>
            <w:r>
              <w:rPr>
                <w:rFonts w:ascii="Times New Roman" w:hAnsi="Times New Roman"/>
                <w:kern w:val="0"/>
                <w:sz w:val="20"/>
                <w:szCs w:val="20"/>
              </w:rPr>
              <w:t>4</w:t>
            </w:r>
            <w:r>
              <w:rPr>
                <w:rFonts w:hint="eastAsia" w:ascii="Times New Roman" w:hAnsi="Times New Roman"/>
                <w:kern w:val="0"/>
                <w:sz w:val="20"/>
                <w:szCs w:val="20"/>
              </w:rPr>
              <w:t>分；</w:t>
            </w:r>
            <w:r>
              <w:rPr>
                <w:rFonts w:ascii="Times New Roman" w:hAnsi="Times New Roman"/>
                <w:kern w:val="0"/>
                <w:sz w:val="20"/>
                <w:szCs w:val="20"/>
              </w:rPr>
              <w:t>70%</w:t>
            </w:r>
            <w:r>
              <w:rPr>
                <w:rFonts w:hint="eastAsia" w:ascii="Times New Roman" w:hAnsi="Times New Roman"/>
                <w:kern w:val="0"/>
                <w:sz w:val="20"/>
                <w:szCs w:val="20"/>
              </w:rPr>
              <w:t>（含）</w:t>
            </w:r>
            <w:r>
              <w:rPr>
                <w:rFonts w:ascii="Times New Roman" w:hAnsi="Times New Roman"/>
                <w:kern w:val="0"/>
                <w:sz w:val="20"/>
                <w:szCs w:val="20"/>
              </w:rPr>
              <w:t>-80%</w:t>
            </w:r>
            <w:r>
              <w:rPr>
                <w:rFonts w:hint="eastAsia" w:ascii="Times New Roman" w:hAnsi="Times New Roman"/>
                <w:kern w:val="0"/>
                <w:sz w:val="20"/>
                <w:szCs w:val="20"/>
              </w:rPr>
              <w:t>，计</w:t>
            </w:r>
            <w:r>
              <w:rPr>
                <w:rFonts w:ascii="Times New Roman" w:hAnsi="Times New Roman"/>
                <w:kern w:val="0"/>
                <w:sz w:val="20"/>
                <w:szCs w:val="20"/>
              </w:rPr>
              <w:t>2</w:t>
            </w:r>
            <w:r>
              <w:rPr>
                <w:rFonts w:hint="eastAsia" w:ascii="Times New Roman" w:hAnsi="Times New Roman"/>
                <w:kern w:val="0"/>
                <w:sz w:val="20"/>
                <w:szCs w:val="20"/>
              </w:rPr>
              <w:t>分；低于</w:t>
            </w:r>
            <w:r>
              <w:rPr>
                <w:rFonts w:ascii="Times New Roman" w:hAnsi="Times New Roman"/>
                <w:kern w:val="0"/>
                <w:sz w:val="20"/>
                <w:szCs w:val="20"/>
              </w:rPr>
              <w:t>70%</w:t>
            </w:r>
            <w:r>
              <w:rPr>
                <w:rFonts w:hint="eastAsia" w:ascii="Times New Roman" w:hAnsi="Times New Roman"/>
                <w:kern w:val="0"/>
                <w:sz w:val="20"/>
                <w:szCs w:val="20"/>
              </w:rPr>
              <w:t>计</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nil"/>
              <w:left w:val="nil"/>
              <w:bottom w:val="nil"/>
              <w:right w:val="single" w:color="auto" w:sz="4" w:space="0"/>
            </w:tcBorders>
            <w:noWrap w:val="0"/>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社会公众或服务对象是指部门（单位）履行职责而影响到的部门、群体或个人，一般采取社会调查的方式。</w:t>
            </w:r>
          </w:p>
        </w:tc>
        <w:tc>
          <w:tcPr>
            <w:tcW w:w="533" w:type="dxa"/>
            <w:tcBorders>
              <w:top w:val="nil"/>
              <w:left w:val="nil"/>
              <w:bottom w:val="nil"/>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w:t>
            </w:r>
            <w:r>
              <w:rPr>
                <w:rFonts w:ascii="Times New Roman" w:hAnsi="Times New Roman"/>
                <w:kern w:val="0"/>
                <w:sz w:val="24"/>
                <w:szCs w:val="24"/>
              </w:rPr>
              <w:t>6</w:t>
            </w:r>
          </w:p>
        </w:tc>
        <w:tc>
          <w:tcPr>
            <w:tcW w:w="1085" w:type="dxa"/>
            <w:tcBorders>
              <w:top w:val="nil"/>
              <w:left w:val="nil"/>
              <w:bottom w:val="nil"/>
              <w:right w:val="single" w:color="auto" w:sz="4" w:space="0"/>
            </w:tcBorders>
            <w:noWrap w:val="0"/>
            <w:vAlign w:val="center"/>
          </w:tcPr>
          <w:p>
            <w:pPr>
              <w:widowControl/>
              <w:spacing w:line="280" w:lineRule="exact"/>
              <w:jc w:val="center"/>
              <w:rPr>
                <w:rFonts w:hint="eastAsia" w:eastAsia="仿宋_GB2312"/>
                <w:color w:val="auto"/>
                <w:kern w:val="0"/>
                <w:sz w:val="20"/>
                <w:szCs w:val="20"/>
                <w:lang w:val="en-US" w:eastAsia="zh-CN"/>
              </w:rPr>
            </w:pPr>
            <w:r>
              <w:rPr>
                <w:rFonts w:hint="eastAsia"/>
                <w:color w:val="auto"/>
                <w:kern w:val="0"/>
                <w:sz w:val="20"/>
                <w:szCs w:val="20"/>
                <w:lang w:val="en-US" w:eastAsia="zh-CN"/>
              </w:rPr>
              <w:t>95%</w:t>
            </w:r>
          </w:p>
        </w:tc>
      </w:tr>
      <w:tr>
        <w:tblPrEx>
          <w:tblCellMar>
            <w:top w:w="0" w:type="dxa"/>
            <w:left w:w="108" w:type="dxa"/>
            <w:bottom w:w="0" w:type="dxa"/>
            <w:right w:w="108" w:type="dxa"/>
          </w:tblCellMar>
        </w:tblPrEx>
        <w:trPr>
          <w:trHeight w:val="1250" w:hRule="atLeast"/>
          <w:jc w:val="center"/>
        </w:trPr>
        <w:tc>
          <w:tcPr>
            <w:tcW w:w="648" w:type="dxa"/>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合计</w:t>
            </w:r>
          </w:p>
        </w:tc>
        <w:tc>
          <w:tcPr>
            <w:tcW w:w="416" w:type="dxa"/>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673" w:type="dxa"/>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tcBorders>
              <w:top w:val="nil"/>
              <w:left w:val="single" w:color="auto" w:sz="4" w:space="0"/>
              <w:bottom w:val="single" w:color="000000"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ascii="Times New Roman" w:hAnsi="Times New Roman"/>
                <w:kern w:val="0"/>
                <w:sz w:val="20"/>
                <w:szCs w:val="20"/>
              </w:rPr>
            </w:pP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ascii="Times New Roman" w:hAnsi="Times New Roman"/>
                <w:kern w:val="0"/>
                <w:sz w:val="20"/>
                <w:szCs w:val="20"/>
              </w:rPr>
            </w:pPr>
          </w:p>
        </w:tc>
        <w:tc>
          <w:tcPr>
            <w:tcW w:w="315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0"/>
                <w:szCs w:val="20"/>
              </w:rPr>
            </w:pPr>
          </w:p>
        </w:tc>
        <w:tc>
          <w:tcPr>
            <w:tcW w:w="533" w:type="dxa"/>
            <w:tcBorders>
              <w:top w:val="nil"/>
              <w:left w:val="nil"/>
              <w:bottom w:val="single" w:color="auto" w:sz="4" w:space="0"/>
              <w:right w:val="single" w:color="auto" w:sz="4" w:space="0"/>
            </w:tcBorders>
            <w:noWrap w:val="0"/>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86</w:t>
            </w:r>
          </w:p>
        </w:tc>
        <w:tc>
          <w:tcPr>
            <w:tcW w:w="1085" w:type="dxa"/>
            <w:tcBorders>
              <w:top w:val="nil"/>
              <w:left w:val="nil"/>
              <w:bottom w:val="single" w:color="auto" w:sz="4" w:space="0"/>
              <w:right w:val="single" w:color="auto" w:sz="4" w:space="0"/>
            </w:tcBorders>
            <w:noWrap w:val="0"/>
            <w:vAlign w:val="top"/>
          </w:tcPr>
          <w:p>
            <w:pPr>
              <w:widowControl/>
              <w:spacing w:line="280" w:lineRule="exact"/>
              <w:jc w:val="left"/>
              <w:rPr>
                <w:rFonts w:ascii="Times New Roman" w:hAnsi="Times New Roman"/>
                <w:kern w:val="0"/>
                <w:sz w:val="24"/>
                <w:szCs w:val="24"/>
              </w:rPr>
            </w:pP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814193"/>
    <w:rsid w:val="76814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Times New Roman" w:eastAsia="仿宋_GB2312"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2021-05-10T03:48:00Z</dcterms:created>
  <dc:creator>Administrator</dc:creator>
  <cp:lastModifiedBy>Administrator</cp:lastModifiedBy>
  <dcterms:modified xsi:type="dcterms:W3CDTF">2021-05-10T03:49:54Z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A065A093AD5B411DAD1CA3C51651D57D</vt:lpwstr>
  </property>
</Properties>
</file>