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bookmarkStart w:id="2" w:name="_GoBack"/>
      <w:r>
        <w:rPr>
          <w:rFonts w:hint="eastAsia" w:ascii="仿宋" w:hAnsi="仿宋" w:eastAsia="仿宋" w:cs="仿宋"/>
          <w:kern w:val="0"/>
          <w:sz w:val="40"/>
          <w:szCs w:val="40"/>
        </w:rPr>
        <w:t>2019</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bookmarkEnd w:id="2"/>
    <w:p>
      <w:pPr>
        <w:spacing w:line="240" w:lineRule="auto"/>
        <w:jc w:val="center"/>
        <w:rPr>
          <w:rFonts w:asciiTheme="minorEastAsia" w:hAnsiTheme="minorEastAsia" w:eastAsiaTheme="minorEastAsia" w:cstheme="minorEastAsia"/>
          <w:kern w:val="0"/>
          <w:sz w:val="21"/>
          <w:szCs w:val="21"/>
        </w:rPr>
      </w:pPr>
    </w:p>
    <w:tbl>
      <w:tblPr>
        <w:tblStyle w:val="8"/>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341"/>
        <w:gridCol w:w="97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长沙市望城区司法局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   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1934"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971"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sz w:val="20"/>
                <w:szCs w:val="20"/>
              </w:rPr>
              <w:t>22,178,435</w:t>
            </w:r>
            <w:r>
              <w:rPr>
                <w:rFonts w:hint="eastAsia" w:asciiTheme="minorEastAsia" w:hAnsiTheme="minorEastAsia" w:eastAsiaTheme="minorEastAsia" w:cstheme="minorEastAsia"/>
                <w:color w:val="000000"/>
                <w:sz w:val="21"/>
                <w:szCs w:val="21"/>
              </w:rPr>
              <w:t>　</w:t>
            </w:r>
          </w:p>
        </w:tc>
        <w:tc>
          <w:tcPr>
            <w:tcW w:w="1934"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宋体" w:hAnsi="宋体" w:eastAsia="宋体" w:cs="Arial"/>
                <w:color w:val="000000"/>
                <w:sz w:val="22"/>
                <w:szCs w:val="22"/>
              </w:rPr>
            </w:pPr>
            <w:r>
              <w:rPr>
                <w:rFonts w:hint="eastAsia" w:cs="Arial"/>
                <w:color w:val="000000"/>
                <w:sz w:val="22"/>
                <w:szCs w:val="22"/>
              </w:rPr>
              <w:t>21,088,390.15</w:t>
            </w:r>
            <w:r>
              <w:rPr>
                <w:rFonts w:hint="eastAsia" w:asciiTheme="minorEastAsia" w:hAnsiTheme="minorEastAsia" w:eastAsiaTheme="minorEastAsia" w:cstheme="minorEastAsia"/>
                <w:color w:val="000000"/>
                <w:sz w:val="21"/>
                <w:szCs w:val="21"/>
              </w:rPr>
              <w:t>　</w:t>
            </w:r>
          </w:p>
        </w:tc>
        <w:tc>
          <w:tcPr>
            <w:tcW w:w="971"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w:t>
            </w:r>
            <w:r>
              <w:rPr>
                <w:rFonts w:asciiTheme="minorEastAsia" w:hAnsiTheme="minorEastAsia" w:eastAsiaTheme="minorEastAsia" w:cstheme="minorEastAsia"/>
                <w:color w:val="000000"/>
                <w:sz w:val="21"/>
                <w:szCs w:val="21"/>
              </w:rPr>
              <w:t>5.09</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sz w:val="20"/>
                <w:szCs w:val="20"/>
              </w:rPr>
              <w:t>22,178,435</w:t>
            </w:r>
          </w:p>
        </w:tc>
        <w:tc>
          <w:tcPr>
            <w:tcW w:w="1934"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宋体" w:hAnsi="宋体" w:eastAsia="宋体" w:cs="Arial"/>
                <w:color w:val="000000"/>
                <w:sz w:val="22"/>
                <w:szCs w:val="22"/>
              </w:rPr>
            </w:pPr>
            <w:r>
              <w:rPr>
                <w:rFonts w:hint="eastAsia" w:cs="Arial"/>
                <w:color w:val="000000"/>
                <w:sz w:val="22"/>
                <w:szCs w:val="22"/>
              </w:rPr>
              <w:t>21,088,390.15</w:t>
            </w:r>
          </w:p>
        </w:tc>
        <w:tc>
          <w:tcPr>
            <w:tcW w:w="971"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w:t>
            </w:r>
            <w:r>
              <w:rPr>
                <w:rFonts w:asciiTheme="minorEastAsia" w:hAnsiTheme="minorEastAsia" w:eastAsiaTheme="minorEastAsia" w:cstheme="minorEastAsia"/>
                <w:color w:val="000000"/>
                <w:sz w:val="21"/>
                <w:szCs w:val="21"/>
              </w:rPr>
              <w:t>5.09</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934"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971"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widowControl/>
              <w:spacing w:line="240" w:lineRule="auto"/>
              <w:jc w:val="center"/>
              <w:rPr>
                <w:rFonts w:asciiTheme="minorEastAsia" w:hAnsiTheme="minorEastAsia" w:eastAsiaTheme="minorEastAsia" w:cstheme="minorEastAsia"/>
                <w:color w:val="000000"/>
                <w:sz w:val="21"/>
                <w:szCs w:val="21"/>
              </w:rPr>
            </w:pPr>
            <w:r>
              <w:rPr>
                <w:rFonts w:hint="eastAsia"/>
                <w:sz w:val="20"/>
                <w:szCs w:val="20"/>
              </w:rPr>
              <w:t>22,178,435</w:t>
            </w:r>
            <w:r>
              <w:rPr>
                <w:rFonts w:hint="eastAsia" w:asciiTheme="minorEastAsia" w:hAnsiTheme="minorEastAsia" w:eastAsiaTheme="minorEastAsia" w:cstheme="minorEastAsia"/>
                <w:color w:val="000000"/>
                <w:sz w:val="21"/>
                <w:szCs w:val="21"/>
              </w:rPr>
              <w:t>　</w:t>
            </w:r>
          </w:p>
        </w:tc>
        <w:tc>
          <w:tcPr>
            <w:tcW w:w="1934"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cs="Arial"/>
                <w:color w:val="000000"/>
                <w:sz w:val="22"/>
                <w:szCs w:val="22"/>
              </w:rPr>
              <w:t>21,088,390.15</w:t>
            </w:r>
            <w:r>
              <w:rPr>
                <w:rFonts w:hint="eastAsia" w:asciiTheme="minorEastAsia" w:hAnsiTheme="minorEastAsia" w:eastAsiaTheme="minorEastAsia" w:cstheme="minorEastAsia"/>
                <w:color w:val="000000"/>
                <w:sz w:val="21"/>
                <w:szCs w:val="21"/>
              </w:rPr>
              <w:t>　</w:t>
            </w:r>
          </w:p>
        </w:tc>
        <w:tc>
          <w:tcPr>
            <w:tcW w:w="971"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w:t>
            </w:r>
            <w:r>
              <w:rPr>
                <w:rFonts w:asciiTheme="minorEastAsia" w:hAnsiTheme="minorEastAsia" w:eastAsiaTheme="minorEastAsia" w:cstheme="minorEastAsia"/>
                <w:color w:val="000000"/>
                <w:sz w:val="21"/>
                <w:szCs w:val="21"/>
              </w:rPr>
              <w:t>5.09</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sz w:val="18"/>
                <w:szCs w:val="18"/>
              </w:rPr>
              <w:t>5,058,435</w:t>
            </w:r>
          </w:p>
        </w:tc>
        <w:tc>
          <w:tcPr>
            <w:tcW w:w="1934"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宋体" w:hAnsi="宋体" w:eastAsia="宋体" w:cs="Arial"/>
                <w:color w:val="000000"/>
                <w:sz w:val="22"/>
                <w:szCs w:val="22"/>
              </w:rPr>
            </w:pPr>
            <w:r>
              <w:rPr>
                <w:rFonts w:hint="eastAsia" w:cs="Arial"/>
                <w:color w:val="000000"/>
                <w:sz w:val="22"/>
                <w:szCs w:val="22"/>
              </w:rPr>
              <w:t>6,351,260.45</w:t>
            </w:r>
          </w:p>
        </w:tc>
        <w:tc>
          <w:tcPr>
            <w:tcW w:w="971" w:type="dxa"/>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r>
              <w:rPr>
                <w:rFonts w:asciiTheme="minorEastAsia" w:hAnsiTheme="minorEastAsia" w:eastAsiaTheme="minorEastAsia" w:cstheme="minorEastAsia"/>
                <w:color w:val="000000"/>
                <w:sz w:val="21"/>
                <w:szCs w:val="21"/>
              </w:rPr>
              <w:t>25.56</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sz w:val="18"/>
                <w:szCs w:val="18"/>
              </w:rPr>
              <w:t>17,120,000</w:t>
            </w:r>
            <w:r>
              <w:rPr>
                <w:rFonts w:hint="eastAsia" w:asciiTheme="minorEastAsia" w:hAnsiTheme="minorEastAsia" w:eastAsiaTheme="minorEastAsia" w:cstheme="minorEastAsia"/>
                <w:color w:val="000000"/>
                <w:sz w:val="21"/>
                <w:szCs w:val="21"/>
              </w:rPr>
              <w:t>　</w:t>
            </w:r>
          </w:p>
        </w:tc>
        <w:tc>
          <w:tcPr>
            <w:tcW w:w="1934" w:type="dxa"/>
            <w:gridSpan w:val="2"/>
            <w:tcBorders>
              <w:tl2br w:val="nil"/>
              <w:tr2bl w:val="nil"/>
            </w:tcBorders>
            <w:tcMar>
              <w:top w:w="15" w:type="dxa"/>
              <w:left w:w="15" w:type="dxa"/>
              <w:bottom w:w="0" w:type="dxa"/>
              <w:right w:w="15" w:type="dxa"/>
            </w:tcMar>
            <w:vAlign w:val="center"/>
          </w:tcPr>
          <w:p>
            <w:pPr>
              <w:widowControl/>
              <w:spacing w:line="240" w:lineRule="auto"/>
              <w:jc w:val="center"/>
              <w:rPr>
                <w:rFonts w:ascii="宋体" w:hAnsi="宋体" w:eastAsia="宋体" w:cs="Arial"/>
                <w:color w:val="000000"/>
                <w:sz w:val="22"/>
                <w:szCs w:val="22"/>
              </w:rPr>
            </w:pPr>
            <w:r>
              <w:rPr>
                <w:rFonts w:hint="eastAsia" w:cs="Arial"/>
                <w:color w:val="000000"/>
                <w:sz w:val="22"/>
                <w:szCs w:val="22"/>
              </w:rPr>
              <w:t>14,737,129.70</w:t>
            </w:r>
            <w:r>
              <w:rPr>
                <w:rFonts w:hint="eastAsia" w:asciiTheme="minorEastAsia" w:hAnsiTheme="minorEastAsia" w:eastAsiaTheme="minorEastAsia" w:cstheme="minorEastAsia"/>
                <w:color w:val="000000"/>
                <w:sz w:val="21"/>
                <w:szCs w:val="21"/>
              </w:rPr>
              <w:t>　</w:t>
            </w:r>
          </w:p>
        </w:tc>
        <w:tc>
          <w:tcPr>
            <w:tcW w:w="971"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8</w:t>
            </w:r>
            <w:r>
              <w:rPr>
                <w:rFonts w:asciiTheme="minorEastAsia" w:hAnsiTheme="minorEastAsia" w:eastAsiaTheme="minorEastAsia" w:cstheme="minorEastAsia"/>
                <w:color w:val="000000"/>
                <w:sz w:val="21"/>
                <w:szCs w:val="21"/>
              </w:rPr>
              <w:t>6.08</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pStyle w:val="12"/>
              <w:numPr>
                <w:ilvl w:val="0"/>
                <w:numId w:val="1"/>
              </w:numPr>
              <w:spacing w:line="250" w:lineRule="exact"/>
              <w:ind w:left="10" w:hanging="10" w:firstLineChars="0"/>
              <w:jc w:val="left"/>
              <w:rPr>
                <w:rFonts w:hAnsi="仿宋_GB2312" w:cs="仿宋_GB2312"/>
                <w:kern w:val="0"/>
                <w:sz w:val="21"/>
                <w:szCs w:val="21"/>
              </w:rPr>
            </w:pPr>
            <w:r>
              <w:rPr>
                <w:rFonts w:hint="eastAsia" w:hAnsi="仿宋_GB2312" w:cs="仿宋_GB2312"/>
                <w:kern w:val="0"/>
                <w:sz w:val="21"/>
                <w:szCs w:val="21"/>
              </w:rPr>
              <w:t>根据上级和区党委政府下达的工作任务，有效承担区法治宣传教育、人民调解、社区矫正、刑释安置帮教、法律援助、律师公证等职能。</w:t>
            </w:r>
          </w:p>
          <w:p>
            <w:pPr>
              <w:pStyle w:val="12"/>
              <w:numPr>
                <w:ilvl w:val="0"/>
                <w:numId w:val="1"/>
              </w:numPr>
              <w:spacing w:line="250" w:lineRule="exact"/>
              <w:ind w:left="10" w:hanging="10" w:firstLineChars="0"/>
              <w:jc w:val="left"/>
              <w:rPr>
                <w:rFonts w:asciiTheme="minorEastAsia" w:hAnsiTheme="minorEastAsia" w:eastAsiaTheme="minorEastAsia" w:cstheme="minorEastAsia"/>
                <w:color w:val="000000"/>
                <w:sz w:val="18"/>
                <w:szCs w:val="18"/>
              </w:rPr>
            </w:pPr>
            <w:r>
              <w:rPr>
                <w:rFonts w:hint="eastAsia" w:hAnsi="仿宋_GB2312" w:cs="仿宋_GB2312"/>
                <w:kern w:val="0"/>
                <w:sz w:val="21"/>
                <w:szCs w:val="21"/>
              </w:rPr>
              <w:t>推进“七五”普法工作；</w:t>
            </w:r>
          </w:p>
          <w:p>
            <w:pPr>
              <w:pStyle w:val="12"/>
              <w:numPr>
                <w:ilvl w:val="0"/>
                <w:numId w:val="1"/>
              </w:numPr>
              <w:spacing w:line="250" w:lineRule="exact"/>
              <w:ind w:left="10" w:hanging="10" w:firstLineChars="0"/>
              <w:jc w:val="left"/>
              <w:rPr>
                <w:rFonts w:asciiTheme="minorEastAsia" w:hAnsiTheme="minorEastAsia" w:eastAsiaTheme="minorEastAsia" w:cstheme="minorEastAsia"/>
                <w:color w:val="000000"/>
                <w:sz w:val="18"/>
                <w:szCs w:val="18"/>
              </w:rPr>
            </w:pPr>
            <w:r>
              <w:rPr>
                <w:rFonts w:hint="eastAsia" w:hAnsi="仿宋_GB2312" w:cs="仿宋_GB2312"/>
                <w:kern w:val="0"/>
                <w:sz w:val="21"/>
                <w:szCs w:val="21"/>
              </w:rPr>
              <w:t>完成村（社区）公共法律服务站点建设工作；</w:t>
            </w:r>
          </w:p>
          <w:p>
            <w:pPr>
              <w:pStyle w:val="12"/>
              <w:numPr>
                <w:ilvl w:val="0"/>
                <w:numId w:val="1"/>
              </w:numPr>
              <w:spacing w:line="250" w:lineRule="exact"/>
              <w:ind w:firstLineChars="0"/>
              <w:jc w:val="left"/>
              <w:rPr>
                <w:rFonts w:asciiTheme="minorEastAsia" w:hAnsiTheme="minorEastAsia" w:eastAsiaTheme="minorEastAsia" w:cstheme="minorEastAsia"/>
                <w:color w:val="000000"/>
                <w:sz w:val="18"/>
                <w:szCs w:val="18"/>
              </w:rPr>
            </w:pPr>
            <w:r>
              <w:rPr>
                <w:rFonts w:hint="eastAsia" w:hAnsi="仿宋_GB2312" w:cs="仿宋_GB2312"/>
                <w:kern w:val="0"/>
                <w:sz w:val="21"/>
                <w:szCs w:val="21"/>
              </w:rPr>
              <w:t>推行基层法律顾问制度；</w:t>
            </w:r>
          </w:p>
          <w:p>
            <w:pPr>
              <w:pStyle w:val="12"/>
              <w:numPr>
                <w:ilvl w:val="0"/>
                <w:numId w:val="1"/>
              </w:numPr>
              <w:spacing w:line="250" w:lineRule="exact"/>
              <w:ind w:left="10" w:hanging="10" w:firstLineChars="0"/>
              <w:jc w:val="left"/>
              <w:rPr>
                <w:rFonts w:asciiTheme="minorEastAsia" w:hAnsiTheme="minorEastAsia" w:eastAsiaTheme="minorEastAsia" w:cstheme="minorEastAsia"/>
                <w:color w:val="000000"/>
                <w:sz w:val="18"/>
                <w:szCs w:val="18"/>
              </w:rPr>
            </w:pPr>
            <w:r>
              <w:rPr>
                <w:rFonts w:hint="eastAsia" w:hAnsi="仿宋_GB2312" w:cs="仿宋_GB2312"/>
                <w:kern w:val="0"/>
                <w:sz w:val="21"/>
                <w:szCs w:val="21"/>
              </w:rPr>
              <w:t>加强对社区矫正人员的管理和监督等。</w:t>
            </w:r>
            <w:r>
              <w:rPr>
                <w:rFonts w:hint="eastAsia" w:hAnsi="仿宋_GB2312" w:cs="仿宋_GB2312"/>
                <w:kern w:val="0"/>
                <w:sz w:val="21"/>
                <w:szCs w:val="21"/>
              </w:rPr>
              <w:br w:type="textWrapping"/>
            </w:r>
          </w:p>
        </w:tc>
        <w:tc>
          <w:tcPr>
            <w:tcW w:w="3983" w:type="dxa"/>
            <w:gridSpan w:val="6"/>
            <w:tcBorders>
              <w:tl2br w:val="nil"/>
              <w:tr2bl w:val="nil"/>
            </w:tcBorders>
            <w:tcMar>
              <w:top w:w="15" w:type="dxa"/>
              <w:left w:w="15" w:type="dxa"/>
              <w:bottom w:w="0" w:type="dxa"/>
              <w:right w:w="15" w:type="dxa"/>
            </w:tcMar>
            <w:vAlign w:val="center"/>
          </w:tcPr>
          <w:p>
            <w:pPr>
              <w:numPr>
                <w:ilvl w:val="0"/>
                <w:numId w:val="2"/>
              </w:numPr>
              <w:spacing w:line="250" w:lineRule="exact"/>
              <w:jc w:val="left"/>
              <w:rPr>
                <w:rFonts w:hAnsi="仿宋_GB2312" w:cs="仿宋_GB2312"/>
                <w:kern w:val="0"/>
                <w:sz w:val="21"/>
                <w:szCs w:val="21"/>
              </w:rPr>
            </w:pPr>
            <w:r>
              <w:rPr>
                <w:rFonts w:hint="eastAsia" w:hAnsi="仿宋_GB2312" w:cs="仿宋_GB2312"/>
                <w:kern w:val="0"/>
                <w:sz w:val="21"/>
                <w:szCs w:val="21"/>
              </w:rPr>
              <w:t>推进社区矫正“四化”，启动“智慧矫正”，信息化监管率100%。</w:t>
            </w:r>
          </w:p>
          <w:p>
            <w:pPr>
              <w:numPr>
                <w:ilvl w:val="0"/>
                <w:numId w:val="2"/>
              </w:numPr>
              <w:spacing w:line="250" w:lineRule="exact"/>
              <w:rPr>
                <w:rFonts w:hAnsi="仿宋_GB2312" w:cs="仿宋_GB2312"/>
                <w:kern w:val="0"/>
                <w:sz w:val="21"/>
                <w:szCs w:val="21"/>
              </w:rPr>
            </w:pPr>
            <w:r>
              <w:rPr>
                <w:rFonts w:hint="eastAsia" w:hAnsi="仿宋_GB2312" w:cs="仿宋_GB2312"/>
                <w:kern w:val="0"/>
                <w:sz w:val="21"/>
                <w:szCs w:val="21"/>
              </w:rPr>
              <w:t>各级调解组织矛盾纠纷调处率100%，成功率97%，实现“四无”</w:t>
            </w:r>
          </w:p>
          <w:p>
            <w:pPr>
              <w:numPr>
                <w:ilvl w:val="0"/>
                <w:numId w:val="2"/>
              </w:numPr>
              <w:spacing w:line="250" w:lineRule="exact"/>
              <w:jc w:val="left"/>
              <w:rPr>
                <w:rFonts w:asciiTheme="minorEastAsia" w:hAnsiTheme="minorEastAsia" w:eastAsiaTheme="minorEastAsia" w:cstheme="minorEastAsia"/>
                <w:color w:val="000000"/>
                <w:sz w:val="18"/>
                <w:szCs w:val="18"/>
              </w:rPr>
            </w:pPr>
            <w:r>
              <w:rPr>
                <w:rFonts w:hint="eastAsia" w:hAnsi="仿宋_GB2312" w:cs="仿宋_GB2312"/>
                <w:kern w:val="0"/>
                <w:sz w:val="21"/>
                <w:szCs w:val="21"/>
              </w:rPr>
              <w:t>健全“一村（社区）一法律顾问”制度，打造10个“一站式”“综合化”特色公共法律服务工作站（点）。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297"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971"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297"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971"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297"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971"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297"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971"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297"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971"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297"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971"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297"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971"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297"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971"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297"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971"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297"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971"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0</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297"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71"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297"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71"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297"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971"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297"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71"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297"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971" w:type="dxa"/>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w:t>
            </w:r>
            <w:r>
              <w:rPr>
                <w:rFonts w:asciiTheme="minorEastAsia" w:hAnsiTheme="minorEastAsia" w:eastAsiaTheme="minorEastAsia" w:cstheme="minorEastAsia"/>
                <w:color w:val="000000"/>
                <w:kern w:val="0"/>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297"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971"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297"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971"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297"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971"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spacing w:line="600" w:lineRule="exact"/>
        <w:jc w:val="center"/>
        <w:rPr>
          <w:rFonts w:ascii="仿宋" w:hAnsi="仿宋" w:eastAsia="仿宋" w:cs="仿宋"/>
          <w:sz w:val="36"/>
          <w:szCs w:val="36"/>
        </w:rPr>
      </w:pPr>
    </w:p>
    <w:p>
      <w:pPr>
        <w:spacing w:line="600" w:lineRule="exact"/>
        <w:jc w:val="center"/>
        <w:rPr>
          <w:rFonts w:ascii="仿宋" w:hAnsi="仿宋" w:eastAsia="仿宋" w:cs="仿宋"/>
          <w:sz w:val="36"/>
          <w:szCs w:val="36"/>
        </w:rPr>
      </w:pPr>
    </w:p>
    <w:p>
      <w:pPr>
        <w:spacing w:line="600" w:lineRule="exact"/>
        <w:jc w:val="center"/>
        <w:rPr>
          <w:rFonts w:ascii="仿宋" w:hAnsi="仿宋" w:eastAsia="仿宋" w:cs="仿宋"/>
          <w:sz w:val="36"/>
          <w:szCs w:val="36"/>
        </w:rPr>
      </w:pPr>
    </w:p>
    <w:p>
      <w:pPr>
        <w:spacing w:line="600" w:lineRule="exact"/>
        <w:jc w:val="center"/>
        <w:rPr>
          <w:rFonts w:ascii="仿宋" w:hAnsi="仿宋" w:eastAsia="仿宋" w:cs="仿宋"/>
          <w:sz w:val="36"/>
          <w:szCs w:val="36"/>
        </w:rPr>
      </w:pPr>
    </w:p>
    <w:p>
      <w:pPr>
        <w:spacing w:line="600" w:lineRule="exact"/>
        <w:jc w:val="center"/>
        <w:rPr>
          <w:rFonts w:ascii="仿宋" w:hAnsi="仿宋" w:eastAsia="仿宋" w:cs="仿宋"/>
          <w:sz w:val="36"/>
          <w:szCs w:val="36"/>
        </w:rPr>
      </w:pPr>
    </w:p>
    <w:p>
      <w:pPr>
        <w:spacing w:line="600" w:lineRule="exact"/>
        <w:jc w:val="center"/>
        <w:rPr>
          <w:rFonts w:ascii="方正小标宋_GBK" w:hAnsi="方正小标宋_GBK" w:eastAsia="方正小标宋_GBK" w:cs="方正小标宋_GBK"/>
          <w:sz w:val="36"/>
          <w:szCs w:val="36"/>
        </w:rPr>
      </w:pPr>
      <w:r>
        <w:rPr>
          <w:rFonts w:hint="eastAsia" w:ascii="仿宋" w:hAnsi="仿宋" w:eastAsia="仿宋" w:cs="仿宋"/>
          <w:sz w:val="36"/>
          <w:szCs w:val="36"/>
        </w:rPr>
        <w:t>2019</w:t>
      </w:r>
      <w:r>
        <w:rPr>
          <w:rFonts w:hint="eastAsia" w:ascii="方正小标宋_GBK" w:hAnsi="方正小标宋_GBK" w:eastAsia="方正小标宋_GBK" w:cs="方正小标宋_GBK"/>
          <w:sz w:val="36"/>
          <w:szCs w:val="36"/>
        </w:rPr>
        <w:t>年度望城区司法局部门整体支出</w:t>
      </w:r>
    </w:p>
    <w:p>
      <w:pPr>
        <w:spacing w:line="600" w:lineRule="exact"/>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预算绩效</w:t>
      </w:r>
      <w:r>
        <w:rPr>
          <w:rFonts w:ascii="方正小标宋_GBK" w:hAnsi="方正小标宋_GBK" w:eastAsia="方正小标宋_GBK" w:cs="方正小标宋_GBK"/>
          <w:sz w:val="36"/>
          <w:szCs w:val="36"/>
        </w:rPr>
        <w:t>自评报告</w:t>
      </w:r>
    </w:p>
    <w:p>
      <w:pPr>
        <w:spacing w:line="600" w:lineRule="exact"/>
        <w:jc w:val="center"/>
        <w:rPr>
          <w:rFonts w:ascii="Times New Roman" w:hAnsi="Times New Roman"/>
        </w:rPr>
      </w:pPr>
    </w:p>
    <w:p>
      <w:pPr>
        <w:numPr>
          <w:ilvl w:val="0"/>
          <w:numId w:val="3"/>
        </w:numPr>
        <w:spacing w:line="600" w:lineRule="exact"/>
        <w:ind w:firstLine="600" w:firstLineChars="200"/>
        <w:rPr>
          <w:rFonts w:ascii="Times New Roman" w:hAnsi="Times New Roman" w:eastAsia="黑体"/>
          <w:sz w:val="30"/>
        </w:rPr>
      </w:pPr>
      <w:r>
        <w:rPr>
          <w:rFonts w:ascii="Times New Roman" w:hAnsi="Times New Roman" w:eastAsia="黑体"/>
          <w:sz w:val="30"/>
        </w:rPr>
        <w:t>基本情况</w:t>
      </w:r>
    </w:p>
    <w:p>
      <w:pPr>
        <w:pStyle w:val="12"/>
        <w:widowControl/>
        <w:spacing w:line="600" w:lineRule="exact"/>
        <w:ind w:left="420" w:firstLine="640"/>
        <w:rPr>
          <w:rFonts w:asciiTheme="minorEastAsia" w:hAnsiTheme="minorEastAsia"/>
          <w:bCs/>
          <w:kern w:val="0"/>
        </w:rPr>
      </w:pPr>
      <w:r>
        <w:rPr>
          <w:rFonts w:hint="eastAsia"/>
          <w:color w:val="262626"/>
        </w:rPr>
        <w:t>望城区司法局人员编制数为25个，实际在编20人，另有政府雇员3人、退役士官6人、临聘人员2人。下设区委依法治区办秘书科、综合科、普法与依法治理科、基层科、公共法律服务管理科、社区矫正工作科、依法行政指导监督科、行政复议与应诉科、文件合同审查科9个科室</w:t>
      </w:r>
      <w:r>
        <w:rPr>
          <w:rFonts w:hint="eastAsia"/>
        </w:rPr>
        <w:t>。</w:t>
      </w:r>
    </w:p>
    <w:p>
      <w:pPr>
        <w:pStyle w:val="12"/>
        <w:spacing w:line="600" w:lineRule="exact"/>
        <w:ind w:left="420" w:firstLine="960" w:firstLineChars="300"/>
        <w:rPr>
          <w:color w:val="000000"/>
        </w:rPr>
      </w:pPr>
      <w:r>
        <w:rPr>
          <w:rFonts w:hint="eastAsia"/>
        </w:rPr>
        <w:t>2019年，区司法局在区委区政府的正确领导下，在上级部门的指导下，深入学习贯彻习近平新时代中国特色社会主义思想，扎实开展“不忘初心、牢记使命”主题教育，以法治望城建设为抓手，围绕服务</w:t>
      </w:r>
      <w:r>
        <w:rPr>
          <w:rFonts w:hint="eastAsia" w:hAnsi="仿宋_GB2312" w:cs="仿宋_GB2312"/>
          <w:color w:val="000000"/>
          <w:kern w:val="0"/>
        </w:rPr>
        <w:t>“</w:t>
      </w:r>
      <w:r>
        <w:rPr>
          <w:rFonts w:hint="eastAsia"/>
        </w:rPr>
        <w:t>营商环境优化年”“产业发展攻坚年”这个中心，主动作为，加压奋进，圆满完成各项工作任务</w:t>
      </w:r>
      <w:r>
        <w:rPr>
          <w:rFonts w:hint="eastAsia"/>
          <w:color w:val="000000"/>
        </w:rPr>
        <w:t>。</w:t>
      </w:r>
    </w:p>
    <w:p>
      <w:pPr>
        <w:spacing w:line="600" w:lineRule="exact"/>
        <w:ind w:firstLine="600" w:firstLineChars="200"/>
        <w:rPr>
          <w:rFonts w:ascii="Times New Roman" w:hAnsi="Times New Roman" w:eastAsia="黑体"/>
          <w:sz w:val="30"/>
        </w:rPr>
      </w:pPr>
      <w:r>
        <w:rPr>
          <w:rFonts w:ascii="Times New Roman" w:hAnsi="Times New Roman" w:eastAsia="黑体"/>
          <w:sz w:val="30"/>
        </w:rPr>
        <w:t>二、预算管理及执行情况</w:t>
      </w:r>
    </w:p>
    <w:p>
      <w:pPr>
        <w:widowControl/>
        <w:spacing w:line="240" w:lineRule="auto"/>
        <w:ind w:firstLine="640" w:firstLineChars="200"/>
        <w:rPr>
          <w:rFonts w:hAnsi="仿宋_GB2312" w:cs="仿宋_GB2312"/>
          <w:kern w:val="0"/>
        </w:rPr>
      </w:pPr>
      <w:r>
        <w:rPr>
          <w:rFonts w:hint="eastAsia" w:hAnsi="仿宋_GB2312" w:cs="仿宋_GB2312"/>
          <w:kern w:val="0"/>
        </w:rPr>
        <w:t>本单位年初预算22,17</w:t>
      </w:r>
      <w:r>
        <w:rPr>
          <w:rFonts w:hAnsi="仿宋_GB2312" w:cs="仿宋_GB2312"/>
          <w:kern w:val="0"/>
        </w:rPr>
        <w:t>.</w:t>
      </w:r>
      <w:r>
        <w:rPr>
          <w:rFonts w:hint="eastAsia" w:hAnsi="仿宋_GB2312" w:cs="仿宋_GB2312"/>
          <w:kern w:val="0"/>
        </w:rPr>
        <w:t>8</w:t>
      </w:r>
      <w:r>
        <w:rPr>
          <w:rFonts w:hAnsi="仿宋_GB2312" w:cs="仿宋_GB2312"/>
          <w:kern w:val="0"/>
        </w:rPr>
        <w:t>4</w:t>
      </w:r>
      <w:r>
        <w:rPr>
          <w:rFonts w:hint="eastAsia" w:hAnsi="仿宋_GB2312" w:cs="仿宋_GB2312"/>
          <w:kern w:val="0"/>
        </w:rPr>
        <w:t>万元，实际执行</w:t>
      </w:r>
      <w:r>
        <w:rPr>
          <w:rFonts w:hAnsi="仿宋_GB2312" w:cs="仿宋_GB2312"/>
          <w:kern w:val="0"/>
        </w:rPr>
        <w:t>2108.84</w:t>
      </w:r>
      <w:r>
        <w:rPr>
          <w:rFonts w:hint="eastAsia" w:hAnsi="仿宋_GB2312" w:cs="仿宋_GB2312"/>
          <w:kern w:val="0"/>
        </w:rPr>
        <w:t>万元，预算执行率9</w:t>
      </w:r>
      <w:r>
        <w:rPr>
          <w:rFonts w:hAnsi="仿宋_GB2312" w:cs="仿宋_GB2312"/>
          <w:kern w:val="0"/>
        </w:rPr>
        <w:t>5.09</w:t>
      </w:r>
      <w:r>
        <w:rPr>
          <w:rFonts w:hint="eastAsia" w:hAnsi="仿宋_GB2312" w:cs="仿宋_GB2312"/>
          <w:kern w:val="0"/>
        </w:rPr>
        <w:t>%，其中基本支出预算</w:t>
      </w:r>
      <w:r>
        <w:rPr>
          <w:rFonts w:hAnsi="仿宋_GB2312" w:cs="仿宋_GB2312"/>
          <w:kern w:val="0"/>
        </w:rPr>
        <w:t>505.85</w:t>
      </w:r>
      <w:r>
        <w:rPr>
          <w:rFonts w:hint="eastAsia" w:hAnsi="仿宋_GB2312" w:cs="仿宋_GB2312"/>
          <w:kern w:val="0"/>
        </w:rPr>
        <w:t>万元、项目支出预算</w:t>
      </w:r>
      <w:r>
        <w:rPr>
          <w:rFonts w:hAnsi="仿宋_GB2312" w:cs="仿宋_GB2312"/>
          <w:kern w:val="0"/>
        </w:rPr>
        <w:t>1712</w:t>
      </w:r>
      <w:r>
        <w:rPr>
          <w:rFonts w:hint="eastAsia" w:hAnsi="仿宋_GB2312" w:cs="仿宋_GB2312"/>
          <w:kern w:val="0"/>
        </w:rPr>
        <w:t>万元，实际基本支出</w:t>
      </w:r>
      <w:r>
        <w:rPr>
          <w:rFonts w:hAnsi="仿宋_GB2312" w:cs="仿宋_GB2312"/>
          <w:kern w:val="0"/>
        </w:rPr>
        <w:t>635.13</w:t>
      </w:r>
      <w:r>
        <w:rPr>
          <w:rFonts w:hint="eastAsia" w:hAnsi="仿宋_GB2312" w:cs="仿宋_GB2312"/>
          <w:kern w:val="0"/>
        </w:rPr>
        <w:t>万元、项目支出</w:t>
      </w:r>
      <w:r>
        <w:rPr>
          <w:rFonts w:hAnsi="仿宋_GB2312" w:cs="仿宋_GB2312"/>
          <w:kern w:val="0"/>
        </w:rPr>
        <w:t>1473.71</w:t>
      </w:r>
      <w:r>
        <w:rPr>
          <w:rFonts w:hint="eastAsia" w:hAnsi="仿宋_GB2312" w:cs="仿宋_GB2312"/>
          <w:kern w:val="0"/>
        </w:rPr>
        <w:t>万元，预算执行率分别为1</w:t>
      </w:r>
      <w:r>
        <w:rPr>
          <w:rFonts w:hAnsi="仿宋_GB2312" w:cs="仿宋_GB2312"/>
          <w:kern w:val="0"/>
        </w:rPr>
        <w:t>15.56</w:t>
      </w:r>
      <w:r>
        <w:rPr>
          <w:rFonts w:hint="eastAsia" w:hAnsi="仿宋_GB2312" w:cs="仿宋_GB2312"/>
          <w:kern w:val="0"/>
        </w:rPr>
        <w:t>%、</w:t>
      </w:r>
      <w:r>
        <w:rPr>
          <w:rFonts w:hAnsi="仿宋_GB2312" w:cs="仿宋_GB2312"/>
          <w:kern w:val="0"/>
        </w:rPr>
        <w:t>86.06%</w:t>
      </w:r>
      <w:r>
        <w:rPr>
          <w:rFonts w:hint="eastAsia" w:hAnsi="仿宋_GB2312" w:cs="仿宋_GB2312"/>
          <w:kern w:val="0"/>
        </w:rPr>
        <w:t>。</w:t>
      </w:r>
    </w:p>
    <w:p>
      <w:pPr>
        <w:spacing w:line="600" w:lineRule="exact"/>
        <w:ind w:firstLine="640" w:firstLineChars="200"/>
        <w:rPr>
          <w:rFonts w:hAnsi="仿宋_GB2312" w:cs="仿宋_GB2312"/>
          <w:kern w:val="0"/>
        </w:rPr>
      </w:pPr>
      <w:r>
        <w:rPr>
          <w:rFonts w:hint="eastAsia" w:hAnsi="仿宋_GB2312" w:cs="仿宋_GB2312"/>
          <w:kern w:val="0"/>
        </w:rPr>
        <w:t>导致执行差异的主要原因有以下两点：</w:t>
      </w:r>
    </w:p>
    <w:p>
      <w:pPr>
        <w:spacing w:line="600" w:lineRule="exact"/>
        <w:ind w:firstLine="640" w:firstLineChars="200"/>
        <w:rPr>
          <w:rFonts w:hAnsi="仿宋_GB2312" w:cs="仿宋_GB2312"/>
          <w:kern w:val="0"/>
        </w:rPr>
      </w:pPr>
      <w:r>
        <w:rPr>
          <w:rFonts w:hint="eastAsia" w:hAnsi="仿宋_GB2312" w:cs="仿宋_GB2312"/>
          <w:kern w:val="0"/>
        </w:rPr>
        <w:t>1、2</w:t>
      </w:r>
      <w:r>
        <w:rPr>
          <w:rFonts w:hAnsi="仿宋_GB2312" w:cs="仿宋_GB2312"/>
          <w:kern w:val="0"/>
        </w:rPr>
        <w:t>019</w:t>
      </w:r>
      <w:r>
        <w:rPr>
          <w:rFonts w:hint="eastAsia" w:hAnsi="仿宋_GB2312" w:cs="仿宋_GB2312"/>
          <w:kern w:val="0"/>
        </w:rPr>
        <w:t>年4月机构改革时加入法制办，新增在职2人、政府雇员3人，增加相关基本人员经费支出，并增加法制工作专项经费1</w:t>
      </w:r>
      <w:r>
        <w:rPr>
          <w:rFonts w:hAnsi="仿宋_GB2312" w:cs="仿宋_GB2312"/>
          <w:kern w:val="0"/>
        </w:rPr>
        <w:t>00</w:t>
      </w:r>
      <w:r>
        <w:rPr>
          <w:rFonts w:hint="eastAsia" w:hAnsi="仿宋_GB2312" w:cs="仿宋_GB2312"/>
          <w:kern w:val="0"/>
        </w:rPr>
        <w:t>万元。</w:t>
      </w:r>
    </w:p>
    <w:p>
      <w:pPr>
        <w:spacing w:line="600" w:lineRule="exact"/>
        <w:ind w:firstLine="640" w:firstLineChars="200"/>
        <w:rPr>
          <w:rFonts w:hAnsi="仿宋_GB2312" w:cs="仿宋_GB2312"/>
          <w:kern w:val="0"/>
        </w:rPr>
      </w:pPr>
      <w:r>
        <w:rPr>
          <w:rFonts w:hint="eastAsia" w:hAnsi="仿宋_GB2312" w:cs="仿宋_GB2312"/>
          <w:kern w:val="0"/>
        </w:rPr>
        <w:t>2、专项预算中含纳入预算管理的行政事业性收费1</w:t>
      </w:r>
      <w:r>
        <w:rPr>
          <w:rFonts w:hAnsi="仿宋_GB2312" w:cs="仿宋_GB2312"/>
          <w:kern w:val="0"/>
        </w:rPr>
        <w:t>080</w:t>
      </w:r>
      <w:r>
        <w:rPr>
          <w:rFonts w:hint="eastAsia" w:hAnsi="仿宋_GB2312" w:cs="仿宋_GB2312"/>
          <w:kern w:val="0"/>
        </w:rPr>
        <w:t>万元，实际收入支出6</w:t>
      </w:r>
      <w:r>
        <w:rPr>
          <w:rFonts w:hAnsi="仿宋_GB2312" w:cs="仿宋_GB2312"/>
          <w:kern w:val="0"/>
        </w:rPr>
        <w:t>59.04</w:t>
      </w:r>
      <w:r>
        <w:rPr>
          <w:rFonts w:hint="eastAsia" w:hAnsi="仿宋_GB2312" w:cs="仿宋_GB2312"/>
          <w:kern w:val="0"/>
        </w:rPr>
        <w:t>万元，差额4</w:t>
      </w:r>
      <w:r>
        <w:rPr>
          <w:rFonts w:hAnsi="仿宋_GB2312" w:cs="仿宋_GB2312"/>
          <w:kern w:val="0"/>
        </w:rPr>
        <w:t>20.96</w:t>
      </w:r>
      <w:r>
        <w:rPr>
          <w:rFonts w:hint="eastAsia" w:hAnsi="仿宋_GB2312" w:cs="仿宋_GB2312"/>
          <w:kern w:val="0"/>
        </w:rPr>
        <w:t>万元。</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三、资产管理情况</w:t>
      </w:r>
    </w:p>
    <w:p>
      <w:pPr>
        <w:spacing w:line="600" w:lineRule="exact"/>
        <w:ind w:firstLine="640" w:firstLineChars="200"/>
        <w:rPr>
          <w:rFonts w:ascii="Times New Roman" w:hAnsi="Times New Roman" w:eastAsia="黑体"/>
          <w:sz w:val="30"/>
        </w:rPr>
      </w:pPr>
      <w:r>
        <w:rPr>
          <w:rFonts w:hint="eastAsia" w:hAnsi="Times New Roman"/>
        </w:rPr>
        <w:t>望城区司法局资产总额162.84万元，</w:t>
      </w:r>
      <w:r>
        <w:rPr>
          <w:rFonts w:hint="eastAsia"/>
        </w:rPr>
        <w:t>其中流动资产1.76万元、固定资产</w:t>
      </w:r>
      <w:r>
        <w:rPr>
          <w:rFonts w:hint="eastAsia" w:hAnsi="Times New Roman"/>
        </w:rPr>
        <w:t>396.20</w:t>
      </w:r>
      <w:r>
        <w:rPr>
          <w:rFonts w:hint="eastAsia"/>
        </w:rPr>
        <w:t>万元，全部为自用以及法律援助中心、社区矫正中心以及52个公共法律服务中心使用，无对外投资情况。</w:t>
      </w:r>
    </w:p>
    <w:p>
      <w:pPr>
        <w:ind w:firstLine="720" w:firstLineChars="225"/>
      </w:pPr>
      <w:r>
        <w:rPr>
          <w:rFonts w:hint="eastAsia" w:hAnsi="Times New Roman"/>
        </w:rPr>
        <w:t>固定资产原值396.20万元，净值161.08万元。</w:t>
      </w:r>
      <w:r>
        <w:rPr>
          <w:rFonts w:hint="eastAsia"/>
        </w:rPr>
        <w:t>固定资产中房屋建筑物213.79万元，执法保障车辆2台31.95万元，</w:t>
      </w:r>
      <w:bookmarkStart w:id="0" w:name="_Hlk50057858"/>
      <w:r>
        <w:rPr>
          <w:rFonts w:hint="eastAsia"/>
        </w:rPr>
        <w:t>无已投入使用6个月以上未转固在建工程、无无形资产、无50万元以上通用设备和100以上专用设备</w:t>
      </w:r>
      <w:bookmarkEnd w:id="0"/>
      <w:r>
        <w:rPr>
          <w:rFonts w:hint="eastAsia"/>
        </w:rPr>
        <w:t>。</w:t>
      </w:r>
    </w:p>
    <w:p>
      <w:pPr>
        <w:ind w:firstLine="720" w:firstLineChars="225"/>
      </w:pPr>
      <w:r>
        <w:rPr>
          <w:rFonts w:hint="eastAsia"/>
        </w:rPr>
        <w:t>本单位2</w:t>
      </w:r>
      <w:r>
        <w:t>019</w:t>
      </w:r>
      <w:r>
        <w:rPr>
          <w:rFonts w:hint="eastAsia"/>
        </w:rPr>
        <w:t>年度资产总额较2</w:t>
      </w:r>
      <w:r>
        <w:t>0</w:t>
      </w:r>
      <w:r>
        <w:rPr>
          <w:rFonts w:hint="eastAsia"/>
        </w:rPr>
        <w:t>18年度降低171.94万元，其中流动资产减少0.66万元，降低率27.27%，固定资产净值减少171.28万元，降低51.53%。固定资产原值实际增加63.83万元，而2019年度新政府会计制度执行后对固定资产计提历史折旧累计全年折旧235.11万元，导致固定资产净值减少。</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四</w:t>
      </w:r>
      <w:r>
        <w:rPr>
          <w:rFonts w:ascii="Times New Roman" w:hAnsi="Times New Roman" w:eastAsia="黑体"/>
          <w:sz w:val="30"/>
        </w:rPr>
        <w:t>、整体支出绩效目标及开展情况</w:t>
      </w:r>
    </w:p>
    <w:p>
      <w:pPr>
        <w:spacing w:line="240" w:lineRule="auto"/>
        <w:ind w:right="-58" w:rightChars="-18" w:firstLine="640" w:firstLineChars="200"/>
        <w:jc w:val="left"/>
      </w:pPr>
      <w:bookmarkStart w:id="1" w:name="_Hlk50056569"/>
      <w:r>
        <w:rPr>
          <w:rFonts w:hint="eastAsia"/>
        </w:rPr>
        <w:t>本单位2</w:t>
      </w:r>
      <w:r>
        <w:t>019</w:t>
      </w:r>
      <w:r>
        <w:rPr>
          <w:rFonts w:hint="eastAsia"/>
        </w:rPr>
        <w:t>年度整体支出绩效目标主要为根据上级和区党委政府下达的工作任务，有效承担区法治宣传教育、人民调解、社区矫正、刑释安置帮教、法律援助、律师公证等职能；推进“七五”普法工作；完成村（社区）公共法律服务站点建设工作；推行基层法律顾问制度；加强对社区矫正人员的管理和监督等。在区委区政府的正确领导下，在上级部门的指导下，深入学习贯彻习近平新时代中国特色社会主义思想，扎实开展“不忘初心、牢记使命”主题教育，以法治望城建设为抓手，围绕服务</w:t>
      </w:r>
      <w:r>
        <w:rPr>
          <w:rFonts w:hint="eastAsia" w:hAnsi="仿宋_GB2312" w:cs="仿宋_GB2312"/>
          <w:color w:val="000000"/>
          <w:kern w:val="0"/>
        </w:rPr>
        <w:t>“</w:t>
      </w:r>
      <w:r>
        <w:rPr>
          <w:rFonts w:hint="eastAsia"/>
        </w:rPr>
        <w:t>营商环境优化年”“产业发展攻坚年”这个中心，主动作为，加压奋进，圆满完成各项工作任务</w:t>
      </w:r>
      <w:r>
        <w:rPr>
          <w:rFonts w:hint="eastAsia"/>
          <w:color w:val="000000"/>
        </w:rPr>
        <w:t>。</w:t>
      </w:r>
      <w:bookmarkEnd w:id="1"/>
      <w:r>
        <w:t xml:space="preserve">      </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五</w:t>
      </w:r>
      <w:r>
        <w:rPr>
          <w:rFonts w:ascii="Times New Roman" w:hAnsi="Times New Roman" w:eastAsia="黑体"/>
          <w:sz w:val="30"/>
        </w:rPr>
        <w:t>、整体支出绩效实现情况</w:t>
      </w:r>
    </w:p>
    <w:p>
      <w:pPr>
        <w:spacing w:line="600" w:lineRule="exact"/>
        <w:ind w:firstLine="600" w:firstLineChars="200"/>
        <w:rPr>
          <w:rFonts w:ascii="Times New Roman" w:hAnsi="Times New Roman"/>
          <w:sz w:val="30"/>
        </w:rPr>
      </w:pPr>
      <w:r>
        <w:rPr>
          <w:rFonts w:ascii="Times New Roman" w:hAnsi="Times New Roman"/>
          <w:sz w:val="30"/>
        </w:rPr>
        <w:t>（一）履职完成情况：</w:t>
      </w:r>
    </w:p>
    <w:p>
      <w:pPr>
        <w:spacing w:line="600" w:lineRule="exact"/>
        <w:ind w:firstLine="643" w:firstLineChars="200"/>
        <w:rPr>
          <w:rFonts w:hAnsi="Times New Roman"/>
          <w:color w:val="000000"/>
        </w:rPr>
      </w:pPr>
      <w:r>
        <w:rPr>
          <w:rFonts w:hint="eastAsia"/>
          <w:b/>
          <w:bCs/>
        </w:rPr>
        <w:t>一是严格管控，特殊人群监管到位。</w:t>
      </w:r>
      <w:r>
        <w:rPr>
          <w:rFonts w:hAnsi="Times New Roman"/>
          <w:color w:val="000000"/>
        </w:rPr>
        <w:t>推进社区矫正“四化”，启动“智慧矫正”，信息化监管率100%。刑满释放人员回执率、衔接率、核实率100%，无因工作未落实导致的脱管漏管和重新犯罪。</w:t>
      </w:r>
    </w:p>
    <w:p>
      <w:pPr>
        <w:spacing w:line="600" w:lineRule="exact"/>
        <w:ind w:firstLine="643" w:firstLineChars="200"/>
        <w:rPr>
          <w:rFonts w:hAnsi="Times New Roman"/>
          <w:color w:val="000000"/>
        </w:rPr>
      </w:pPr>
      <w:r>
        <w:rPr>
          <w:rFonts w:hint="eastAsia"/>
          <w:b/>
          <w:bCs/>
        </w:rPr>
        <w:t>二是专群结合，人民调解纵深推进。</w:t>
      </w:r>
      <w:r>
        <w:rPr>
          <w:rFonts w:hAnsi="Times New Roman"/>
          <w:color w:val="000000"/>
        </w:rPr>
        <w:t>通过政府购买服务选聘专职调解员23名，建立驻所（队）调解室。各级调解组织矛盾纠纷调处率100%，成功率97%，实现“四无”。</w:t>
      </w:r>
    </w:p>
    <w:p>
      <w:pPr>
        <w:pStyle w:val="5"/>
        <w:spacing w:line="600" w:lineRule="exact"/>
        <w:ind w:firstLine="643" w:firstLineChars="200"/>
        <w:jc w:val="both"/>
        <w:rPr>
          <w:rFonts w:ascii="仿宋_GB2312" w:eastAsia="仿宋_GB2312"/>
          <w:color w:val="000000"/>
          <w:sz w:val="32"/>
          <w:szCs w:val="32"/>
        </w:rPr>
      </w:pPr>
      <w:r>
        <w:rPr>
          <w:rFonts w:hint="eastAsia" w:ascii="仿宋_GB2312" w:eastAsia="仿宋_GB2312"/>
          <w:b/>
          <w:bCs/>
          <w:sz w:val="32"/>
          <w:szCs w:val="32"/>
        </w:rPr>
        <w:t>三是深化法律服务供给。</w:t>
      </w:r>
      <w:r>
        <w:rPr>
          <w:rFonts w:hint="eastAsia" w:ascii="仿宋_GB2312" w:eastAsia="仿宋_GB2312"/>
          <w:color w:val="000000"/>
          <w:sz w:val="32"/>
          <w:szCs w:val="32"/>
        </w:rPr>
        <w:t>提供法律服务3100余次。办理援助案件695件。指派律师办理刑事认罪认罚类案件415件，涉法涉诉接待来访群众300余人次。</w:t>
      </w:r>
    </w:p>
    <w:p>
      <w:pPr>
        <w:pStyle w:val="4"/>
        <w:ind w:left="8" w:leftChars="0" w:firstLine="633" w:firstLineChars="197"/>
        <w:rPr>
          <w:rFonts w:hAnsi="Times New Roman"/>
          <w:color w:val="000000"/>
        </w:rPr>
      </w:pPr>
      <w:r>
        <w:rPr>
          <w:rFonts w:hint="eastAsia" w:hAnsiTheme="minorHAnsi" w:cstheme="minorBidi"/>
          <w:b/>
          <w:bCs/>
        </w:rPr>
        <w:t>四</w:t>
      </w:r>
      <w:r>
        <w:rPr>
          <w:rFonts w:hint="eastAsia" w:ascii="楷体_GB2312" w:hAnsi="楷体_GB2312" w:eastAsia="楷体_GB2312" w:cs="楷体_GB2312"/>
          <w:b/>
          <w:bCs/>
        </w:rPr>
        <w:t>是</w:t>
      </w:r>
      <w:r>
        <w:rPr>
          <w:rFonts w:hint="eastAsia" w:hAnsi="仿宋_GB2312" w:cs="仿宋_GB2312"/>
          <w:b/>
          <w:bCs/>
        </w:rPr>
        <w:t>推进依法行政、</w:t>
      </w:r>
      <w:r>
        <w:rPr>
          <w:rFonts w:hint="eastAsia"/>
          <w:b/>
          <w:bCs/>
        </w:rPr>
        <w:t>全民守法</w:t>
      </w:r>
      <w:r>
        <w:rPr>
          <w:rFonts w:hint="eastAsia" w:hAnsi="仿宋_GB2312" w:cs="仿宋_GB2312"/>
          <w:b/>
          <w:bCs/>
        </w:rPr>
        <w:t>。</w:t>
      </w:r>
      <w:r>
        <w:rPr>
          <w:rFonts w:hint="eastAsia"/>
          <w:color w:val="000000"/>
        </w:rPr>
        <w:t>区委全面依法治区委员会审议通过“两规则一细则”。落实重大行政决策合法性审查制度，参加会议600余次。依法审查163件文件、47件政府合同，涉及金额超500亿元。办理行政案件118件。举办“12·4”宪法宣传周暨全民宪法知识竞答活动，约34万人次参加。</w:t>
      </w:r>
    </w:p>
    <w:p>
      <w:pPr>
        <w:numPr>
          <w:ilvl w:val="0"/>
          <w:numId w:val="4"/>
        </w:numPr>
        <w:spacing w:line="600" w:lineRule="exact"/>
        <w:ind w:firstLine="600" w:firstLineChars="200"/>
        <w:rPr>
          <w:rFonts w:ascii="Times New Roman" w:hAnsi="Times New Roman"/>
          <w:sz w:val="30"/>
        </w:rPr>
      </w:pPr>
      <w:r>
        <w:rPr>
          <w:rFonts w:ascii="Times New Roman" w:hAnsi="Times New Roman"/>
          <w:sz w:val="30"/>
        </w:rPr>
        <w:t>履职效果情况</w:t>
      </w:r>
    </w:p>
    <w:p>
      <w:pPr>
        <w:pStyle w:val="5"/>
        <w:spacing w:line="600" w:lineRule="exact"/>
        <w:ind w:firstLine="643" w:firstLineChars="200"/>
        <w:jc w:val="both"/>
        <w:rPr>
          <w:rFonts w:ascii="仿宋_GB2312" w:eastAsia="仿宋_GB2312"/>
          <w:color w:val="000000"/>
          <w:sz w:val="32"/>
          <w:szCs w:val="32"/>
        </w:rPr>
      </w:pPr>
      <w:r>
        <w:rPr>
          <w:rFonts w:hint="eastAsia" w:ascii="楷体_GB2312" w:hAnsi="楷体_GB2312" w:eastAsia="楷体_GB2312" w:cs="楷体_GB2312"/>
          <w:b/>
          <w:bCs/>
          <w:sz w:val="32"/>
          <w:szCs w:val="32"/>
        </w:rPr>
        <w:t>改革任务取得新突破。一是</w:t>
      </w:r>
      <w:r>
        <w:rPr>
          <w:rFonts w:hint="eastAsia" w:ascii="仿宋_GB2312" w:eastAsia="仿宋_GB2312"/>
          <w:b/>
          <w:bCs/>
          <w:sz w:val="32"/>
          <w:szCs w:val="32"/>
        </w:rPr>
        <w:t>以新定位谋划法治政府建设。</w:t>
      </w:r>
      <w:r>
        <w:rPr>
          <w:rFonts w:hint="eastAsia" w:ascii="仿宋_GB2312" w:eastAsia="仿宋_GB2312"/>
          <w:color w:val="000000"/>
          <w:sz w:val="32"/>
          <w:szCs w:val="32"/>
        </w:rPr>
        <w:t>重新组建区司法局，设立区委依法治区办秘书科，实现执法、司法、守法、普法各个环节职责一体、全面贯通。</w:t>
      </w:r>
      <w:r>
        <w:rPr>
          <w:rFonts w:hint="eastAsia" w:ascii="楷体_GB2312" w:hAnsi="楷体_GB2312" w:eastAsia="楷体_GB2312" w:cs="楷体_GB2312"/>
          <w:b/>
          <w:bCs/>
          <w:sz w:val="32"/>
          <w:szCs w:val="32"/>
        </w:rPr>
        <w:t>二是</w:t>
      </w:r>
      <w:r>
        <w:rPr>
          <w:rFonts w:hint="eastAsia" w:ascii="仿宋_GB2312" w:eastAsia="仿宋_GB2312"/>
          <w:b/>
          <w:bCs/>
          <w:color w:val="000000"/>
          <w:sz w:val="32"/>
          <w:szCs w:val="32"/>
        </w:rPr>
        <w:t>以新标准服务“两个年”活动。</w:t>
      </w:r>
      <w:r>
        <w:rPr>
          <w:rFonts w:hint="eastAsia" w:ascii="仿宋_GB2312" w:eastAsia="仿宋_GB2312"/>
          <w:color w:val="000000"/>
          <w:sz w:val="32"/>
          <w:szCs w:val="32"/>
        </w:rPr>
        <w:t>依法对重大行政决策进行合法性审查，做好证明事项清理和优化审批权事项改革。参加征地补偿安置一、二、三轮会审，办理涉拆行政案件。</w:t>
      </w:r>
      <w:r>
        <w:rPr>
          <w:rFonts w:hint="eastAsia" w:ascii="仿宋_GB2312" w:eastAsia="仿宋_GB2312"/>
          <w:b/>
          <w:bCs/>
          <w:sz w:val="32"/>
          <w:szCs w:val="32"/>
        </w:rPr>
        <w:t>三是以新举措推进基层治理。</w:t>
      </w:r>
      <w:r>
        <w:rPr>
          <w:rFonts w:hint="eastAsia" w:ascii="仿宋_GB2312" w:eastAsia="仿宋_GB2312"/>
          <w:sz w:val="32"/>
          <w:szCs w:val="32"/>
        </w:rPr>
        <w:t>在</w:t>
      </w:r>
      <w:r>
        <w:rPr>
          <w:rFonts w:hint="eastAsia" w:ascii="仿宋_GB2312" w:eastAsia="仿宋_GB2312"/>
          <w:color w:val="000000"/>
          <w:sz w:val="32"/>
          <w:szCs w:val="32"/>
        </w:rPr>
        <w:t>全省法治乡村暨民主法治示范村建设现场推进会推介望城“三治融合”工作，《法制日报》《长沙要情》报道相关经验。</w:t>
      </w:r>
    </w:p>
    <w:p>
      <w:pPr>
        <w:pStyle w:val="4"/>
        <w:ind w:left="0" w:leftChars="0" w:firstLine="640"/>
        <w:rPr>
          <w:rFonts w:hAnsi="Times New Roman"/>
          <w:color w:val="000000"/>
        </w:rPr>
      </w:pPr>
      <w:r>
        <w:rPr>
          <w:rFonts w:hint="eastAsia" w:ascii="楷体_GB2312" w:hAnsi="楷体_GB2312" w:eastAsia="楷体_GB2312" w:cs="楷体_GB2312"/>
          <w:b/>
          <w:bCs/>
        </w:rPr>
        <w:t>平安建设获得新提升</w:t>
      </w:r>
      <w:r>
        <w:rPr>
          <w:rFonts w:ascii="楷体_GB2312" w:hAnsi="楷体_GB2312" w:eastAsia="楷体_GB2312" w:cs="楷体_GB2312"/>
          <w:b/>
          <w:bCs/>
        </w:rPr>
        <w:t>。</w:t>
      </w:r>
      <w:r>
        <w:rPr>
          <w:rFonts w:hint="eastAsia"/>
          <w:b/>
          <w:bCs/>
        </w:rPr>
        <w:t>一是严格管控，特殊人群监管到位。</w:t>
      </w:r>
      <w:r>
        <w:rPr>
          <w:rFonts w:hAnsi="Times New Roman"/>
          <w:color w:val="000000"/>
        </w:rPr>
        <w:t>无因工作未落实导致的脱管漏管和重新犯罪。建成远程视频会见系统。稳妥办理特赦手续。</w:t>
      </w:r>
    </w:p>
    <w:p>
      <w:pPr>
        <w:ind w:firstLine="643" w:firstLineChars="200"/>
        <w:rPr>
          <w:color w:val="000000"/>
        </w:rPr>
      </w:pPr>
      <w:r>
        <w:rPr>
          <w:rFonts w:hint="eastAsia" w:ascii="楷体_GB2312" w:hAnsi="楷体_GB2312" w:eastAsia="楷体_GB2312" w:cs="楷体_GB2312"/>
          <w:b/>
          <w:bCs/>
        </w:rPr>
        <w:t>法律服务取得新成效。</w:t>
      </w:r>
      <w:r>
        <w:rPr>
          <w:rFonts w:hint="eastAsia"/>
          <w:b/>
          <w:bCs/>
        </w:rPr>
        <w:t>优化法律服务平台。</w:t>
      </w:r>
      <w:r>
        <w:rPr>
          <w:rFonts w:hint="eastAsia"/>
          <w:color w:val="000000"/>
        </w:rPr>
        <w:t>健全“一村（社区）一法律顾问”制度，打造10个“一站式”“综合化”特色公共法律服务工作站（点）。</w:t>
      </w:r>
    </w:p>
    <w:p>
      <w:pPr>
        <w:pStyle w:val="4"/>
        <w:spacing w:line="600" w:lineRule="exact"/>
        <w:ind w:left="0" w:leftChars="0" w:firstLine="643" w:firstLineChars="200"/>
        <w:rPr>
          <w:color w:val="000000"/>
        </w:rPr>
      </w:pPr>
      <w:r>
        <w:rPr>
          <w:rFonts w:hint="eastAsia" w:ascii="楷体_GB2312" w:hAnsi="楷体_GB2312" w:eastAsia="楷体_GB2312" w:cs="楷体_GB2312"/>
          <w:b/>
          <w:bCs/>
        </w:rPr>
        <w:t>依法治区踏上新征程。一是</w:t>
      </w:r>
      <w:r>
        <w:rPr>
          <w:rFonts w:hint="eastAsia" w:hAnsi="仿宋_GB2312" w:cs="仿宋_GB2312"/>
          <w:b/>
          <w:bCs/>
        </w:rPr>
        <w:t>推进依法行政。</w:t>
      </w:r>
      <w:r>
        <w:rPr>
          <w:rFonts w:hint="eastAsia"/>
          <w:color w:val="000000"/>
        </w:rPr>
        <w:t>行政执法案卷评查结果在四区县市排名第一。</w:t>
      </w:r>
      <w:r>
        <w:rPr>
          <w:rFonts w:hint="eastAsia" w:hAnsi="仿宋_GB2312" w:cs="仿宋_GB2312"/>
          <w:b/>
          <w:bCs/>
        </w:rPr>
        <w:t>二是</w:t>
      </w:r>
      <w:r>
        <w:rPr>
          <w:rFonts w:hint="eastAsia"/>
          <w:b/>
          <w:bCs/>
        </w:rPr>
        <w:t>推进全民守法。</w:t>
      </w:r>
      <w:r>
        <w:rPr>
          <w:rFonts w:hint="eastAsia"/>
          <w:color w:val="000000"/>
        </w:rPr>
        <w:t>国家工作人员学法用法考试通过率100%；牵头成立“金种子行动”法律服务支队；举办“12·4”宪法宣传周暨全民宪法知识竞答活动，并在湖南都市频道等媒体报道。督促“谁执法谁普法”责任部门和街镇普法宣传200余场次。光明蝶谷法治公园获评全省“法治文化示范项目”。</w:t>
      </w:r>
      <w:r>
        <w:rPr>
          <w:rFonts w:hint="eastAsia"/>
          <w:b/>
          <w:bCs/>
        </w:rPr>
        <w:t>三是优化营商环境。</w:t>
      </w:r>
      <w:r>
        <w:rPr>
          <w:rFonts w:hint="eastAsia"/>
          <w:color w:val="000000"/>
        </w:rPr>
        <w:t>成立“企业法律顾问团”，开展“红心暖企 法治惠企”营商服务预约活动。办理劳动争议类法律援助案件93件,挽回损失近100万元。成立商事纠纷调解委员会和驻湾田、金桥国际调解室。</w:t>
      </w:r>
    </w:p>
    <w:p>
      <w:pPr>
        <w:spacing w:line="600" w:lineRule="exact"/>
        <w:ind w:firstLine="600" w:firstLineChars="200"/>
        <w:rPr>
          <w:rFonts w:ascii="Times New Roman" w:hAnsi="Times New Roman"/>
          <w:sz w:val="30"/>
        </w:rPr>
      </w:pPr>
      <w:r>
        <w:rPr>
          <w:rFonts w:ascii="Times New Roman" w:hAnsi="Times New Roman"/>
          <w:sz w:val="30"/>
        </w:rPr>
        <w:t>（三）社会满意度情况</w:t>
      </w:r>
    </w:p>
    <w:p>
      <w:pPr>
        <w:spacing w:line="600" w:lineRule="exact"/>
        <w:ind w:firstLine="600" w:firstLineChars="200"/>
        <w:rPr>
          <w:color w:val="000000"/>
        </w:rPr>
      </w:pPr>
      <w:r>
        <w:rPr>
          <w:rFonts w:hint="eastAsia" w:ascii="Times New Roman" w:hAnsi="Times New Roman"/>
          <w:sz w:val="30"/>
        </w:rPr>
        <w:t>1、</w:t>
      </w:r>
      <w:r>
        <w:rPr>
          <w:rFonts w:hint="eastAsia"/>
          <w:color w:val="000000"/>
        </w:rPr>
        <w:t>行政执法案卷评查结果在四区县市排名第一。</w:t>
      </w:r>
    </w:p>
    <w:p>
      <w:pPr>
        <w:pStyle w:val="7"/>
        <w:ind w:firstLine="640" w:firstLineChars="200"/>
        <w:rPr>
          <w:rFonts w:hint="default" w:ascii="仿宋_GB2312" w:hAnsi="Times New Roman" w:eastAsia="仿宋_GB2312"/>
          <w:color w:val="000000"/>
          <w:kern w:val="2"/>
          <w:sz w:val="32"/>
          <w:szCs w:val="32"/>
        </w:rPr>
      </w:pPr>
      <w:r>
        <w:rPr>
          <w:rFonts w:ascii="仿宋_GB2312" w:hAnsi="Times New Roman" w:eastAsia="仿宋_GB2312"/>
          <w:color w:val="000000"/>
          <w:kern w:val="2"/>
          <w:sz w:val="32"/>
          <w:szCs w:val="32"/>
        </w:rPr>
        <w:t>2、升级丁字湾司法所，白箬铺司法所获评“全省司法所工作表现突出单位”。</w:t>
      </w:r>
    </w:p>
    <w:p>
      <w:pPr>
        <w:pStyle w:val="2"/>
        <w:ind w:left="640" w:firstLine="640"/>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六</w:t>
      </w:r>
      <w:r>
        <w:rPr>
          <w:rFonts w:ascii="Times New Roman" w:hAnsi="Times New Roman" w:eastAsia="黑体"/>
          <w:sz w:val="30"/>
        </w:rPr>
        <w:t>、部门（单位）整体支出绩效中存在问题及改进措施</w:t>
      </w:r>
    </w:p>
    <w:p>
      <w:pPr>
        <w:spacing w:line="600" w:lineRule="exact"/>
        <w:ind w:firstLine="600" w:firstLineChars="200"/>
        <w:rPr>
          <w:rFonts w:ascii="Times New Roman" w:hAnsi="Times New Roman"/>
          <w:sz w:val="30"/>
        </w:rPr>
      </w:pPr>
      <w:r>
        <w:rPr>
          <w:rFonts w:ascii="Times New Roman" w:hAnsi="Times New Roman"/>
          <w:sz w:val="30"/>
        </w:rPr>
        <w:t>（一）主要问题及原因分析</w:t>
      </w:r>
    </w:p>
    <w:p>
      <w:pPr>
        <w:widowControl/>
        <w:ind w:firstLine="960" w:firstLineChars="300"/>
      </w:pPr>
      <w:r>
        <w:rPr>
          <w:rFonts w:hint="eastAsia"/>
          <w:color w:val="000000"/>
        </w:rPr>
        <w:t>法律援助值班律师和刑事辩护全覆盖工作开展后,刑事案件大幅度增长，但法援经费没有增加，现有经费难以满足不断增长的案件需求。</w:t>
      </w:r>
    </w:p>
    <w:p>
      <w:pPr>
        <w:spacing w:line="600" w:lineRule="exact"/>
        <w:ind w:left="640" w:leftChars="200"/>
        <w:rPr>
          <w:rFonts w:ascii="Times New Roman" w:hAnsi="Times New Roman"/>
          <w:sz w:val="30"/>
        </w:rPr>
      </w:pPr>
      <w:r>
        <w:rPr>
          <w:rFonts w:hint="eastAsia" w:ascii="Times New Roman" w:hAnsi="Times New Roman"/>
          <w:sz w:val="30"/>
        </w:rPr>
        <w:t>（二）</w:t>
      </w:r>
      <w:r>
        <w:rPr>
          <w:rFonts w:ascii="Times New Roman" w:hAnsi="Times New Roman"/>
          <w:sz w:val="30"/>
        </w:rPr>
        <w:t>改进的方向和具体措施</w:t>
      </w:r>
    </w:p>
    <w:p>
      <w:pPr>
        <w:spacing w:line="600" w:lineRule="exact"/>
        <w:ind w:firstLine="928" w:firstLineChars="289"/>
        <w:rPr>
          <w:rFonts w:hAnsi="仿宋_GB2312" w:cs="仿宋_GB2312"/>
        </w:rPr>
      </w:pPr>
      <w:r>
        <w:rPr>
          <w:rFonts w:hint="eastAsia" w:ascii="楷体_GB2312" w:hAnsi="仿宋_GB2312" w:eastAsia="楷体_GB2312" w:cs="仿宋_GB2312"/>
          <w:b/>
        </w:rPr>
        <w:t>1、以“三治融合”为抓手，推进普法依法治理。</w:t>
      </w:r>
      <w:r>
        <w:rPr>
          <w:rFonts w:hint="eastAsia"/>
        </w:rPr>
        <w:t>深入推进“法律六进”，</w:t>
      </w:r>
      <w:r>
        <w:rPr>
          <w:rFonts w:hint="eastAsia" w:hAnsi="仿宋_GB2312" w:cs="仿宋_GB2312"/>
        </w:rPr>
        <w:t>开展农村法治宣传月活动，加强“法律明白人”队伍建设，</w:t>
      </w:r>
      <w:r>
        <w:fldChar w:fldCharType="begin"/>
      </w:r>
      <w:r>
        <w:instrText xml:space="preserve"> HYPERLINK "http://www.baidu.com/link?url=hKN7325Y7M_qJwQG-qlsfiIxecQPbA4w23K2JilkK80QJrXdtPrRHD0RXH8Fwn3N-uQFyHhAlqGeM5rus9y7KNNPVu3I8ZsWtSrgS_-WK3m" \t "https://www.baidu.com/_blank" </w:instrText>
      </w:r>
      <w:r>
        <w:fldChar w:fldCharType="separate"/>
      </w:r>
      <w:r>
        <w:rPr>
          <w:rFonts w:hint="eastAsia" w:hAnsi="仿宋_GB2312" w:cs="仿宋_GB2312"/>
        </w:rPr>
        <w:t>突出抓好基层干群普法教育</w:t>
      </w:r>
      <w:r>
        <w:rPr>
          <w:rFonts w:hint="eastAsia" w:hAnsi="仿宋_GB2312" w:cs="仿宋_GB2312"/>
        </w:rPr>
        <w:fldChar w:fldCharType="end"/>
      </w:r>
      <w:r>
        <w:rPr>
          <w:rFonts w:hint="eastAsia" w:hAnsi="仿宋_GB2312" w:cs="仿宋_GB2312"/>
        </w:rPr>
        <w:t>；充分发挥雷锋纪念馆青少年素质教育基地主导作用，在全区七年级学生中开展“每周一法”授课；全力做好领导干部和公职人员学法考法工作。全面落实“谁执法谁普法”责任制，开展扫黑除恶“12·4”</w:t>
      </w:r>
      <w:r>
        <w:rPr>
          <w:rFonts w:hint="eastAsia" w:hAnsi="仿宋_GB2312" w:cs="仿宋_GB2312"/>
          <w:lang w:val="en-US" w:eastAsia="zh-CN"/>
        </w:rPr>
        <w:t>国家</w:t>
      </w:r>
      <w:r>
        <w:rPr>
          <w:rFonts w:hint="eastAsia" w:hAnsi="仿宋_GB2312" w:cs="仿宋_GB2312"/>
        </w:rPr>
        <w:t>宪法日等主题宣传活动。</w:t>
      </w:r>
      <w:r>
        <w:rPr>
          <w:rFonts w:hint="eastAsia"/>
        </w:rPr>
        <w:t>探索“三治融合”模式，</w:t>
      </w:r>
      <w:r>
        <w:rPr>
          <w:rFonts w:hint="eastAsia" w:hAnsi="仿宋_GB2312" w:cs="仿宋_GB2312"/>
        </w:rPr>
        <w:t>深化法治县（市、区）、法治街镇、“民主法治示范村（社区）”、依法办事示范窗口单位等创建活动。升级优化光明蝶谷法治公园，创新法治公园推广模式。</w:t>
      </w:r>
    </w:p>
    <w:p>
      <w:pPr>
        <w:spacing w:line="600" w:lineRule="exact"/>
        <w:ind w:firstLine="787" w:firstLineChars="245"/>
      </w:pPr>
      <w:r>
        <w:rPr>
          <w:rFonts w:hint="eastAsia" w:ascii="楷体_GB2312" w:hAnsi="仿宋_GB2312" w:eastAsia="楷体_GB2312" w:cs="仿宋_GB2312"/>
          <w:b/>
        </w:rPr>
        <w:t>2、以“枫桥经验”为引领，推进矛盾纠纷化解。</w:t>
      </w:r>
      <w:r>
        <w:rPr>
          <w:rFonts w:hint="eastAsia"/>
        </w:rPr>
        <w:t>将人民调解与扫黑除恶等专项行动结合起来，争创“四无”目标。探索建立人民调解与行政调解、司法调解、行政复议等非诉机制的结合模式，深化边界纠纷联防联调机制，推动传统调解手段升级创新。组建环保行业人民调解委员会，重点规范解决劳资纠纷的人民调解组织，力求行业性专业性和派驻人民调解组织规范化率超60%。打造特色基层人民调解室，实现街（镇）、村（社区）人民调解组织规范化率超90%、村（社区）和企事业人民调解组织规范化率超60%。足额保障人民调解经费，落实“以奖代补”。健全人民陪审员信息库，加大宣传推介力度。</w:t>
      </w:r>
    </w:p>
    <w:p>
      <w:pPr>
        <w:spacing w:line="600" w:lineRule="exact"/>
        <w:ind w:firstLine="643" w:firstLineChars="200"/>
        <w:rPr>
          <w:rFonts w:hAnsi="仿宋_GB2312" w:cs="仿宋_GB2312"/>
          <w:bCs/>
        </w:rPr>
      </w:pPr>
      <w:r>
        <w:rPr>
          <w:rFonts w:hint="eastAsia" w:ascii="楷体_GB2312" w:hAnsi="仿宋_GB2312" w:eastAsia="楷体_GB2312" w:cs="仿宋_GB2312"/>
          <w:b/>
        </w:rPr>
        <w:t>3、以提质增效为关键，推进社区矫正工作。</w:t>
      </w:r>
      <w:r>
        <w:rPr>
          <w:rFonts w:hint="eastAsia" w:hAnsi="仿宋_GB2312" w:cs="仿宋_GB2312"/>
          <w:bCs/>
        </w:rPr>
        <w:t>开展防脱管漏管和重新犯罪专项行动，推进扫黑除恶专项斗争。组织社区矫正对象集中教育，购买心理咨询服务，推进智慧矫正建设。抓实刑满释放人员安置帮教，确保核实率、回置率、衔接率100%，开展 “三帮一”“结对子”、"情暖高墙、关爱未成</w:t>
      </w:r>
      <w:r>
        <w:rPr>
          <w:rFonts w:hint="eastAsia" w:hAnsi="仿宋_GB2312" w:cs="仿宋_GB2312"/>
          <w:bCs/>
          <w:lang w:eastAsia="zh-CN"/>
        </w:rPr>
        <w:t>年</w:t>
      </w:r>
      <w:r>
        <w:rPr>
          <w:rFonts w:hint="eastAsia" w:hAnsi="仿宋_GB2312" w:cs="仿宋_GB2312"/>
          <w:bCs/>
        </w:rPr>
        <w:t>人"等活动，最大限度地防止脱管、漏管，预防重新犯罪，切实维护社会稳定。</w:t>
      </w:r>
    </w:p>
    <w:p>
      <w:pPr>
        <w:tabs>
          <w:tab w:val="left" w:pos="4676"/>
        </w:tabs>
        <w:spacing w:line="600" w:lineRule="exact"/>
        <w:ind w:firstLine="643" w:firstLineChars="200"/>
        <w:rPr>
          <w:rFonts w:ascii="楷体_GB2312" w:hAnsi="仿宋_GB2312" w:eastAsia="楷体_GB2312" w:cs="仿宋_GB2312"/>
          <w:b/>
        </w:rPr>
      </w:pPr>
      <w:r>
        <w:rPr>
          <w:rFonts w:hint="eastAsia" w:ascii="楷体_GB2312" w:hAnsi="仿宋_GB2312" w:eastAsia="楷体_GB2312" w:cs="仿宋_GB2312"/>
          <w:b/>
        </w:rPr>
        <w:t>4、以优化服务为重点，推进公共法律服务。</w:t>
      </w:r>
      <w:r>
        <w:rPr>
          <w:rFonts w:hint="eastAsia"/>
        </w:rPr>
        <w:t>推进“一站式”“综合化”的公共法律服务工作站（点）建设，继续建设示范性的公共法律服务工作站（点）。持续推进法律顾问工作，为新增的村（社区）配备法律顾问。</w:t>
      </w:r>
      <w:r>
        <w:t>加</w:t>
      </w:r>
      <w:r>
        <w:rPr>
          <w:rFonts w:hint="eastAsia"/>
        </w:rPr>
        <w:t>大</w:t>
      </w:r>
      <w:r>
        <w:t>法律顾问日常工作管理</w:t>
      </w:r>
      <w:r>
        <w:rPr>
          <w:rFonts w:hint="eastAsia"/>
        </w:rPr>
        <w:t>力度，提升法律顾问服务质量。加强法律服务机构管理，加大对律师、公证员、基层法律工作者的管理力度。加强退役军人公共法律服务工作，设立退役军人优先服务窗口，为退役军人提供法律咨询、法律援助等综合性法律服务。</w:t>
      </w:r>
    </w:p>
    <w:p>
      <w:pPr>
        <w:tabs>
          <w:tab w:val="left" w:pos="4676"/>
        </w:tabs>
        <w:spacing w:line="600" w:lineRule="exact"/>
        <w:ind w:firstLine="816" w:firstLineChars="254"/>
        <w:rPr>
          <w:rFonts w:ascii="黑体" w:hAnsi="黑体" w:eastAsia="黑体" w:cs="黑体"/>
        </w:rPr>
      </w:pPr>
      <w:r>
        <w:rPr>
          <w:rFonts w:hint="eastAsia" w:ascii="楷体_GB2312" w:hAnsi="仿宋_GB2312" w:eastAsia="楷体_GB2312" w:cs="仿宋_GB2312"/>
          <w:b/>
        </w:rPr>
        <w:t>5、以依法办事为底线，推进法治政府建设。</w:t>
      </w:r>
      <w:r>
        <w:rPr>
          <w:rFonts w:hint="eastAsia"/>
        </w:rPr>
        <w:t>做好行政规范性文件和政府合同的合法性审查，着力督促各主办单位切实做好规范性文件效力评估工作。</w:t>
      </w:r>
      <w:r>
        <w:rPr>
          <w:rFonts w:hint="eastAsia" w:hAnsi="仿宋_GB2312" w:cs="仿宋_GB2312"/>
        </w:rPr>
        <w:t>着力深化行政执法工作机制，严格落实行政执法“三项制度”，加大行政执法考核力度。组织两轮全区行政执法人员考试，加强行政执法人员队伍管理。办理好每一件行政复议和行政诉讼案件，有效化解行政纠纷，降低败诉风险。</w:t>
      </w:r>
    </w:p>
    <w:p>
      <w:pPr>
        <w:spacing w:line="600" w:lineRule="exact"/>
        <w:rPr>
          <w:rFonts w:ascii="Times New Roman" w:hAnsi="Times New Roman"/>
          <w:sz w:val="30"/>
        </w:rPr>
      </w:pPr>
    </w:p>
    <w:p>
      <w:pPr>
        <w:adjustRightInd w:val="0"/>
        <w:snapToGrid w:val="0"/>
        <w:spacing w:line="600" w:lineRule="exact"/>
        <w:jc w:val="left"/>
        <w:rPr>
          <w:rFonts w:ascii="Times New Roman" w:hAnsi="Times New Roman"/>
          <w:bCs/>
          <w:color w:val="000000"/>
          <w:kern w:val="0"/>
          <w:sz w:val="36"/>
          <w:szCs w:val="36"/>
        </w:rPr>
      </w:pPr>
    </w:p>
    <w:p>
      <w:pPr>
        <w:pStyle w:val="2"/>
        <w:ind w:left="640" w:firstLine="720"/>
        <w:rPr>
          <w:rFonts w:ascii="Times New Roman" w:hAnsi="Times New Roman"/>
          <w:bCs/>
          <w:color w:val="000000"/>
          <w:kern w:val="0"/>
          <w:sz w:val="36"/>
          <w:szCs w:val="36"/>
        </w:rPr>
      </w:pPr>
    </w:p>
    <w:p>
      <w:pPr>
        <w:pStyle w:val="2"/>
        <w:ind w:left="640" w:firstLine="720"/>
        <w:rPr>
          <w:rFonts w:ascii="Times New Roman" w:hAnsi="Times New Roman"/>
          <w:bCs/>
          <w:color w:val="000000"/>
          <w:kern w:val="0"/>
          <w:sz w:val="36"/>
          <w:szCs w:val="36"/>
        </w:rPr>
      </w:pPr>
    </w:p>
    <w:p>
      <w:pPr>
        <w:pStyle w:val="2"/>
        <w:ind w:left="640" w:firstLine="720"/>
        <w:jc w:val="right"/>
        <w:rPr>
          <w:rFonts w:ascii="Times New Roman" w:hAnsi="Times New Roman"/>
          <w:bCs/>
          <w:color w:val="000000"/>
          <w:kern w:val="0"/>
          <w:sz w:val="36"/>
          <w:szCs w:val="36"/>
        </w:rPr>
      </w:pPr>
      <w:r>
        <w:rPr>
          <w:rFonts w:hint="eastAsia" w:ascii="Times New Roman" w:hAnsi="Times New Roman"/>
          <w:bCs/>
          <w:color w:val="000000"/>
          <w:kern w:val="0"/>
          <w:sz w:val="36"/>
          <w:szCs w:val="36"/>
        </w:rPr>
        <w:t>长沙市望城区司法局</w:t>
      </w:r>
    </w:p>
    <w:p>
      <w:pPr>
        <w:pStyle w:val="2"/>
        <w:ind w:left="640" w:firstLine="720"/>
        <w:jc w:val="right"/>
        <w:rPr>
          <w:rFonts w:ascii="Times New Roman" w:hAnsi="Times New Roman"/>
          <w:bCs/>
          <w:color w:val="000000"/>
          <w:kern w:val="0"/>
          <w:sz w:val="36"/>
          <w:szCs w:val="36"/>
          <w:highlight w:val="yellow"/>
        </w:rPr>
      </w:pPr>
      <w:r>
        <w:rPr>
          <w:rFonts w:hint="eastAsia" w:ascii="Times New Roman" w:hAnsi="Times New Roman"/>
          <w:bCs/>
          <w:color w:val="000000"/>
          <w:kern w:val="0"/>
          <w:sz w:val="36"/>
          <w:szCs w:val="36"/>
        </w:rPr>
        <w:t>2020年4月2日</w:t>
      </w:r>
    </w:p>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5F71C62-6BDC-456F-8B3E-1CC408DFC89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B6008400-B05B-4934-BD0E-983C1B7993EB}"/>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CA28BC5F-B740-46C5-9F34-1A3380BA17EA}"/>
  </w:font>
  <w:font w:name="方正小标宋_GBK">
    <w:panose1 w:val="02000000000000000000"/>
    <w:charset w:val="86"/>
    <w:family w:val="script"/>
    <w:pitch w:val="default"/>
    <w:sig w:usb0="A00002BF" w:usb1="38CF7CFA" w:usb2="00082016" w:usb3="00000000" w:csb0="00040001" w:csb1="00000000"/>
    <w:embedRegular r:id="rId4" w:fontKey="{C9D92C30-6C94-4B09-B29B-7B744AA8E9CB}"/>
  </w:font>
  <w:font w:name="楷体_GB2312">
    <w:panose1 w:val="02010609030101010101"/>
    <w:charset w:val="86"/>
    <w:family w:val="auto"/>
    <w:pitch w:val="default"/>
    <w:sig w:usb0="00000001" w:usb1="080E0000" w:usb2="00000000" w:usb3="00000000" w:csb0="00040000" w:csb1="00000000"/>
    <w:embedRegular r:id="rId5" w:fontKey="{96730DDE-2734-48D9-BB15-CCC488C430CF}"/>
  </w:font>
  <w:font w:name="等线">
    <w:altName w:val="微软雅黑"/>
    <w:panose1 w:val="00000000000000000000"/>
    <w:charset w:val="00"/>
    <w:family w:val="auto"/>
    <w:pitch w:val="default"/>
    <w:sig w:usb0="00000000" w:usb1="00000000" w:usb2="00000000" w:usb3="00000000" w:csb0="00000000" w:csb1="00000000"/>
    <w:embedRegular r:id="rId6" w:fontKey="{4A8C613E-F7B1-4497-A7E3-51CF6ADC281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D1D494"/>
    <w:multiLevelType w:val="singleLevel"/>
    <w:tmpl w:val="E9D1D494"/>
    <w:lvl w:ilvl="0" w:tentative="0">
      <w:start w:val="1"/>
      <w:numFmt w:val="decimal"/>
      <w:suff w:val="nothing"/>
      <w:lvlText w:val="%1、"/>
      <w:lvlJc w:val="left"/>
    </w:lvl>
  </w:abstractNum>
  <w:abstractNum w:abstractNumId="1">
    <w:nsid w:val="3C3C0162"/>
    <w:multiLevelType w:val="multilevel"/>
    <w:tmpl w:val="3C3C0162"/>
    <w:lvl w:ilvl="0" w:tentative="0">
      <w:start w:val="1"/>
      <w:numFmt w:val="decimal"/>
      <w:lvlText w:val="%1、"/>
      <w:lvlJc w:val="left"/>
      <w:pPr>
        <w:ind w:left="270" w:hanging="270"/>
      </w:pPr>
      <w:rPr>
        <w:rFonts w:hint="default" w:asciiTheme="minorEastAsia" w:hAnsiTheme="minorEastAsia" w:eastAsiaTheme="minorEastAsia" w:cstheme="minorEastAsia"/>
        <w:color w:val="000000"/>
        <w:sz w:val="1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FE641C0"/>
    <w:multiLevelType w:val="singleLevel"/>
    <w:tmpl w:val="4FE641C0"/>
    <w:lvl w:ilvl="0" w:tentative="0">
      <w:start w:val="2"/>
      <w:numFmt w:val="chineseCounting"/>
      <w:suff w:val="nothing"/>
      <w:lvlText w:val="（%1）"/>
      <w:lvlJc w:val="left"/>
      <w:rPr>
        <w:rFonts w:hint="eastAsia"/>
      </w:rPr>
    </w:lvl>
  </w:abstractNum>
  <w:abstractNum w:abstractNumId="3">
    <w:nsid w:val="5342F6FB"/>
    <w:multiLevelType w:val="singleLevel"/>
    <w:tmpl w:val="5342F6FB"/>
    <w:lvl w:ilvl="0" w:tentative="0">
      <w:start w:val="1"/>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I0YzM3MDU3NTA3NzEzMDFmMDRlNGU5OGM2NGY2ZTgifQ=="/>
  </w:docVars>
  <w:rsids>
    <w:rsidRoot w:val="004F4491"/>
    <w:rsid w:val="00022E53"/>
    <w:rsid w:val="00222C88"/>
    <w:rsid w:val="00292ACD"/>
    <w:rsid w:val="002C1759"/>
    <w:rsid w:val="00382BA0"/>
    <w:rsid w:val="004B3BF7"/>
    <w:rsid w:val="004D0705"/>
    <w:rsid w:val="004F4491"/>
    <w:rsid w:val="004F4BAC"/>
    <w:rsid w:val="004F7BBF"/>
    <w:rsid w:val="00567DFC"/>
    <w:rsid w:val="005721C6"/>
    <w:rsid w:val="00643F77"/>
    <w:rsid w:val="006657C7"/>
    <w:rsid w:val="006F47E6"/>
    <w:rsid w:val="00780F6E"/>
    <w:rsid w:val="00820ADB"/>
    <w:rsid w:val="00933224"/>
    <w:rsid w:val="00A6657F"/>
    <w:rsid w:val="00AD7E2A"/>
    <w:rsid w:val="00AF0CA5"/>
    <w:rsid w:val="00AF533C"/>
    <w:rsid w:val="00C24428"/>
    <w:rsid w:val="00C54A60"/>
    <w:rsid w:val="00CB505B"/>
    <w:rsid w:val="00CE325C"/>
    <w:rsid w:val="00D64030"/>
    <w:rsid w:val="00D70E36"/>
    <w:rsid w:val="00EC49D2"/>
    <w:rsid w:val="00ED5429"/>
    <w:rsid w:val="4F0C48EA"/>
    <w:rsid w:val="597E2523"/>
    <w:rsid w:val="71320875"/>
    <w:rsid w:val="76C377E5"/>
    <w:rsid w:val="76F832D4"/>
    <w:rsid w:val="772C2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qFormat/>
    <w:uiPriority w:val="0"/>
    <w:pPr>
      <w:spacing w:after="120"/>
      <w:ind w:left="200" w:leftChars="200"/>
    </w:pPr>
  </w:style>
  <w:style w:type="paragraph" w:styleId="4">
    <w:name w:val="index 5"/>
    <w:basedOn w:val="1"/>
    <w:next w:val="1"/>
    <w:qFormat/>
    <w:uiPriority w:val="0"/>
    <w:pPr>
      <w:ind w:left="800" w:leftChars="800"/>
    </w:pPr>
  </w:style>
  <w:style w:type="paragraph" w:styleId="5">
    <w:name w:val="footer"/>
    <w:basedOn w:val="1"/>
    <w:next w:val="4"/>
    <w:link w:val="11"/>
    <w:unhideWhenUsed/>
    <w:qFormat/>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7">
    <w:name w:val="Normal (Web)"/>
    <w:basedOn w:val="1"/>
    <w:qFormat/>
    <w:uiPriority w:val="0"/>
    <w:pPr>
      <w:jc w:val="left"/>
    </w:pPr>
    <w:rPr>
      <w:rFonts w:hint="eastAsia" w:ascii="微软雅黑" w:hAnsi="微软雅黑" w:eastAsia="微软雅黑"/>
      <w:color w:val="262626"/>
      <w:kern w:val="0"/>
      <w:sz w:val="21"/>
      <w:szCs w:val="21"/>
    </w:rPr>
  </w:style>
  <w:style w:type="character" w:customStyle="1" w:styleId="10">
    <w:name w:val="页眉 字符"/>
    <w:basedOn w:val="9"/>
    <w:link w:val="6"/>
    <w:qFormat/>
    <w:uiPriority w:val="99"/>
    <w:rPr>
      <w:sz w:val="18"/>
      <w:szCs w:val="18"/>
    </w:rPr>
  </w:style>
  <w:style w:type="character" w:customStyle="1" w:styleId="11">
    <w:name w:val="页脚 字符"/>
    <w:basedOn w:val="9"/>
    <w:link w:val="5"/>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5212</Words>
  <Characters>5673</Characters>
  <Lines>44</Lines>
  <Paragraphs>12</Paragraphs>
  <TotalTime>0</TotalTime>
  <ScaleCrop>false</ScaleCrop>
  <LinksUpToDate>false</LinksUpToDate>
  <CharactersWithSpaces>5706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2020-03-29T03:30:00Z</dcterms:created>
  <dc:creator>丁 启骏</dc:creator>
  <cp:lastModifiedBy>Administrator</cp:lastModifiedBy>
  <dcterms:modified xsi:type="dcterms:W3CDTF">2023-03-29T05:57:28Z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2429DDFE98C94ED28ED916BC5A163750</vt:lpwstr>
  </property>
</Properties>
</file>