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2019</w:t>
      </w:r>
      <w:r>
        <w:rPr>
          <w:rFonts w:hint="eastAsia" w:ascii="方正小标宋简体" w:hAnsi="方正小标宋简体" w:eastAsia="方正小标宋简体" w:cs="方正小标宋简体"/>
          <w:sz w:val="44"/>
          <w:szCs w:val="44"/>
        </w:rPr>
        <w:t>年度</w:t>
      </w:r>
      <w:r>
        <w:rPr>
          <w:rFonts w:hint="eastAsia" w:ascii="方正小标宋简体" w:hAnsi="方正小标宋简体" w:eastAsia="方正小标宋简体" w:cs="方正小标宋简体"/>
          <w:sz w:val="44"/>
          <w:szCs w:val="44"/>
          <w:lang w:eastAsia="zh-CN"/>
        </w:rPr>
        <w:t>长沙市望城区审计局</w:t>
      </w:r>
      <w:r>
        <w:rPr>
          <w:rFonts w:hint="eastAsia" w:ascii="方正小标宋简体" w:hAnsi="方正小标宋简体" w:eastAsia="方正小标宋简体" w:cs="方正小标宋简体"/>
          <w:sz w:val="44"/>
          <w:szCs w:val="44"/>
        </w:rPr>
        <w:t>整体支出预算绩效自评报告</w:t>
      </w:r>
    </w:p>
    <w:p>
      <w:pPr>
        <w:keepNext w:val="0"/>
        <w:keepLines w:val="0"/>
        <w:pageBreakBefore w:val="0"/>
        <w:kinsoku/>
        <w:wordWrap/>
        <w:overflowPunct/>
        <w:topLinePunct w:val="0"/>
        <w:autoSpaceDE/>
        <w:autoSpaceDN/>
        <w:bidi w:val="0"/>
        <w:adjustRightInd/>
        <w:snapToGrid/>
        <w:spacing w:line="600" w:lineRule="exact"/>
        <w:jc w:val="center"/>
        <w:rPr>
          <w:rFonts w:hint="eastAsia" w:ascii="方正小标宋简体" w:hAnsi="方正小标宋简体" w:eastAsia="方正小标宋简体" w:cs="方正小标宋简体"/>
          <w:sz w:val="44"/>
          <w:szCs w:val="44"/>
        </w:rPr>
      </w:pPr>
    </w:p>
    <w:p>
      <w:pPr>
        <w:keepNext w:val="0"/>
        <w:keepLines w:val="0"/>
        <w:pageBreakBefore w:val="0"/>
        <w:widowControl/>
        <w:kinsoku/>
        <w:wordWrap/>
        <w:overflowPunct/>
        <w:topLinePunct w:val="0"/>
        <w:autoSpaceDE/>
        <w:autoSpaceDN/>
        <w:bidi w:val="0"/>
        <w:adjustRightInd/>
        <w:snapToGrid/>
        <w:spacing w:line="600" w:lineRule="exact"/>
        <w:ind w:firstLine="627" w:firstLineChars="196"/>
        <w:jc w:val="both"/>
        <w:rPr>
          <w:rFonts w:hint="eastAsia" w:eastAsia="黑体"/>
          <w:bCs/>
          <w:kern w:val="0"/>
          <w:sz w:val="32"/>
          <w:szCs w:val="32"/>
          <w:lang w:eastAsia="zh-CN"/>
        </w:rPr>
      </w:pPr>
      <w:r>
        <w:rPr>
          <w:rFonts w:eastAsia="黑体"/>
          <w:bCs/>
          <w:kern w:val="0"/>
          <w:sz w:val="32"/>
          <w:szCs w:val="32"/>
        </w:rPr>
        <w:t>一、基本</w:t>
      </w:r>
      <w:r>
        <w:rPr>
          <w:rFonts w:hint="eastAsia" w:eastAsia="黑体"/>
          <w:bCs/>
          <w:kern w:val="0"/>
          <w:sz w:val="32"/>
          <w:szCs w:val="32"/>
          <w:lang w:eastAsia="zh-CN"/>
        </w:rPr>
        <w:t>情况</w:t>
      </w:r>
    </w:p>
    <w:p>
      <w:pPr>
        <w:keepNext w:val="0"/>
        <w:keepLines w:val="0"/>
        <w:pageBreakBefore w:val="0"/>
        <w:widowControl/>
        <w:kinsoku/>
        <w:wordWrap/>
        <w:overflowPunct/>
        <w:topLinePunct w:val="0"/>
        <w:autoSpaceDE/>
        <w:autoSpaceDN/>
        <w:bidi w:val="0"/>
        <w:adjustRightInd/>
        <w:snapToGrid/>
        <w:spacing w:line="600" w:lineRule="exact"/>
        <w:ind w:firstLine="627" w:firstLineChars="196"/>
        <w:jc w:val="both"/>
        <w:rPr>
          <w:rFonts w:hint="eastAsia" w:ascii="楷体" w:hAnsi="楷体" w:eastAsia="楷体" w:cs="楷体"/>
          <w:sz w:val="32"/>
          <w:szCs w:val="32"/>
        </w:rPr>
      </w:pPr>
      <w:r>
        <w:rPr>
          <w:rFonts w:hint="eastAsia" w:ascii="楷体" w:hAnsi="楷体" w:eastAsia="楷体" w:cs="楷体"/>
          <w:sz w:val="32"/>
          <w:szCs w:val="32"/>
          <w:lang w:val="en-US" w:eastAsia="zh-CN"/>
        </w:rPr>
        <w:t>（一）</w:t>
      </w:r>
      <w:r>
        <w:rPr>
          <w:rFonts w:hint="eastAsia" w:ascii="楷体" w:hAnsi="楷体" w:eastAsia="楷体" w:cs="楷体"/>
          <w:sz w:val="32"/>
          <w:szCs w:val="32"/>
        </w:rPr>
        <w:t>职能职责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hAnsi="仿宋_GB2312" w:cs="仿宋_GB2312"/>
          <w:sz w:val="32"/>
          <w:szCs w:val="32"/>
          <w:lang w:val="en-US" w:eastAsia="zh-CN"/>
        </w:rPr>
        <w:t>、</w:t>
      </w:r>
      <w:r>
        <w:rPr>
          <w:rFonts w:hint="eastAsia" w:ascii="仿宋_GB2312" w:hAnsi="仿宋_GB2312" w:eastAsia="仿宋_GB2312" w:cs="仿宋_GB2312"/>
          <w:sz w:val="32"/>
          <w:szCs w:val="32"/>
        </w:rPr>
        <w:t>长沙市望城区审计局根据《中华人民共和国审计法》的规定，直接进行下列审计：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(1)区本级财政预算执行情况和其他财政收支。乡镇人民政府预算的执行情况和决算。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(2)区属国有企业的资产、负债和损益情况。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(3)地方金融机构的资产、负债和损益情况。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(4)区政府管理的和受区政府委托由社会团体管理的社会保障基金、环境保护资金、社会捐赠资金及其他有关资金、基金的收支。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(5)区政府接收的国际组织和外国政府援助、贷款项目以及赠款项目的财务收支。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(6)区直各部门及其下属单位的财务收支和专项资金使用情况。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(7)区政府及区直各部门基本建设项目概预算执行和决算。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(8)其他法律、法规规定应由区审计局进行的审计。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2、受区委、区政府委托，依法对区直单位和乡、镇的党政领导干部和国有企业负责人进行任期经济责任审计；实施对区管党政领导干部和区属国有企业负责人经济责任审计。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3、向区政府提交区本级预算执行情况的审计结果报告，受区政府委托向区人大常委会提出区本级预算执行情况和其他财政收支审计工作报告。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4、为贯彻执行国家财经工作方针政策和宏观调控措施，组织行业审计、专项审计或审计调查，并向上级审计机关、区政府和有关部门反映情况，提出建议。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hAnsi="仿宋_GB2312" w:cs="仿宋_GB2312"/>
          <w:sz w:val="32"/>
          <w:szCs w:val="32"/>
          <w:lang w:val="en-US" w:eastAsia="zh-CN"/>
        </w:rPr>
        <w:t>5、</w:t>
      </w:r>
      <w:r>
        <w:rPr>
          <w:rFonts w:hint="eastAsia" w:ascii="仿宋_GB2312" w:hAnsi="仿宋_GB2312" w:eastAsia="仿宋_GB2312" w:cs="仿宋_GB2312"/>
          <w:sz w:val="32"/>
          <w:szCs w:val="32"/>
        </w:rPr>
        <w:t>组织实施对全区内部审计工作进行业务指导和监督。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6、与有关部门共同组织开展审计领域的对外交流和学术研究活动。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7、承办区委、区人民政府和上级主管部门交办的其他工作。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8、向区政府和政府有关部门通报审计情况，提出制订和完善有关政策、宏观控制措施的建议。 </w:t>
      </w:r>
    </w:p>
    <w:p>
      <w:pPr>
        <w:keepNext w:val="0"/>
        <w:keepLines w:val="0"/>
        <w:pageBreakBefore w:val="0"/>
        <w:widowControl/>
        <w:kinsoku/>
        <w:wordWrap/>
        <w:overflowPunct/>
        <w:topLinePunct w:val="0"/>
        <w:autoSpaceDE/>
        <w:autoSpaceDN/>
        <w:bidi w:val="0"/>
        <w:adjustRightInd/>
        <w:snapToGrid/>
        <w:spacing w:line="600" w:lineRule="exact"/>
        <w:ind w:firstLine="627" w:firstLineChars="196"/>
        <w:jc w:val="both"/>
        <w:rPr>
          <w:rFonts w:hint="eastAsia" w:ascii="楷体" w:hAnsi="楷体" w:eastAsia="楷体" w:cs="楷体"/>
          <w:sz w:val="32"/>
          <w:szCs w:val="32"/>
        </w:rPr>
      </w:pPr>
      <w:r>
        <w:rPr>
          <w:rFonts w:hint="eastAsia" w:ascii="楷体" w:hAnsi="楷体" w:eastAsia="楷体" w:cs="楷体"/>
          <w:sz w:val="32"/>
          <w:szCs w:val="32"/>
          <w:lang w:eastAsia="zh-CN"/>
        </w:rPr>
        <w:t>（二）</w:t>
      </w:r>
      <w:r>
        <w:rPr>
          <w:rFonts w:hint="eastAsia" w:ascii="楷体" w:hAnsi="楷体" w:eastAsia="楷体" w:cs="楷体"/>
          <w:sz w:val="32"/>
          <w:szCs w:val="32"/>
        </w:rPr>
        <w:t>机构设置</w:t>
      </w:r>
    </w:p>
    <w:p>
      <w:pPr>
        <w:keepNext w:val="0"/>
        <w:keepLines w:val="0"/>
        <w:pageBreakBefore w:val="0"/>
        <w:kinsoku/>
        <w:wordWrap/>
        <w:overflowPunct/>
        <w:topLinePunct w:val="0"/>
        <w:autoSpaceDE/>
        <w:autoSpaceDN/>
        <w:bidi w:val="0"/>
        <w:adjustRightInd/>
        <w:snapToGrid/>
        <w:spacing w:line="600" w:lineRule="exact"/>
        <w:ind w:firstLine="720" w:firstLineChars="225"/>
        <w:jc w:val="both"/>
        <w:rPr>
          <w:rFonts w:hint="eastAsia" w:ascii="仿宋_GB2312" w:eastAsia="仿宋_GB2312"/>
          <w:sz w:val="32"/>
          <w:szCs w:val="32"/>
        </w:rPr>
      </w:pPr>
      <w:r>
        <w:rPr>
          <w:rFonts w:hint="eastAsia" w:ascii="仿宋_GB2312" w:eastAsia="仿宋_GB2312"/>
          <w:sz w:val="32"/>
          <w:szCs w:val="32"/>
        </w:rPr>
        <w:t>长沙市望城区审计局为财政全额拨款的行政单位，</w:t>
      </w:r>
      <w:r>
        <w:rPr>
          <w:rFonts w:hint="eastAsia" w:ascii="仿宋_GB2312" w:eastAsia="仿宋_GB2312"/>
          <w:sz w:val="32"/>
          <w:szCs w:val="32"/>
          <w:lang w:eastAsia="zh-CN"/>
        </w:rPr>
        <w:t>属于一级预算单位，</w:t>
      </w:r>
      <w:r>
        <w:rPr>
          <w:rFonts w:hint="eastAsia" w:ascii="仿宋_GB2312" w:eastAsia="仿宋_GB2312"/>
          <w:sz w:val="32"/>
          <w:szCs w:val="32"/>
        </w:rPr>
        <w:t>局机关</w:t>
      </w:r>
      <w:r>
        <w:rPr>
          <w:rFonts w:hint="eastAsia" w:ascii="仿宋_GB2312" w:eastAsia="仿宋_GB2312"/>
          <w:sz w:val="32"/>
          <w:szCs w:val="32"/>
          <w:lang w:eastAsia="zh-CN"/>
        </w:rPr>
        <w:t>行政</w:t>
      </w:r>
      <w:r>
        <w:rPr>
          <w:rFonts w:hint="eastAsia" w:ascii="仿宋_GB2312" w:eastAsia="仿宋_GB2312"/>
          <w:sz w:val="32"/>
          <w:szCs w:val="32"/>
        </w:rPr>
        <w:t>编制数</w:t>
      </w:r>
      <w:r>
        <w:rPr>
          <w:rFonts w:hint="eastAsia" w:ascii="仿宋_GB2312" w:eastAsia="仿宋_GB2312"/>
          <w:sz w:val="32"/>
          <w:szCs w:val="32"/>
          <w:lang w:val="en-US" w:eastAsia="zh-CN"/>
        </w:rPr>
        <w:t>15</w:t>
      </w:r>
      <w:r>
        <w:rPr>
          <w:rFonts w:hint="eastAsia" w:ascii="仿宋_GB2312" w:eastAsia="仿宋_GB2312"/>
          <w:sz w:val="32"/>
          <w:szCs w:val="32"/>
        </w:rPr>
        <w:t>人，</w:t>
      </w:r>
      <w:r>
        <w:rPr>
          <w:rFonts w:hint="eastAsia" w:ascii="仿宋_GB2312" w:eastAsia="仿宋_GB2312"/>
          <w:sz w:val="32"/>
          <w:szCs w:val="32"/>
          <w:lang w:eastAsia="zh-CN"/>
        </w:rPr>
        <w:t>工勤编</w:t>
      </w:r>
      <w:r>
        <w:rPr>
          <w:rFonts w:hint="eastAsia" w:ascii="仿宋_GB2312" w:eastAsia="仿宋_GB2312"/>
          <w:sz w:val="32"/>
          <w:szCs w:val="32"/>
          <w:lang w:val="en-US" w:eastAsia="zh-CN"/>
        </w:rPr>
        <w:t>2人，实有行政编制17人，</w:t>
      </w:r>
      <w:r>
        <w:rPr>
          <w:rFonts w:hint="eastAsia" w:ascii="仿宋_GB2312" w:eastAsia="仿宋_GB2312"/>
          <w:sz w:val="32"/>
          <w:szCs w:val="32"/>
        </w:rPr>
        <w:t>政府雇员2人。下属</w:t>
      </w:r>
      <w:r>
        <w:rPr>
          <w:rFonts w:hint="eastAsia" w:ascii="仿宋_GB2312" w:eastAsia="仿宋_GB2312"/>
          <w:sz w:val="32"/>
          <w:szCs w:val="32"/>
          <w:lang w:eastAsia="zh-CN"/>
        </w:rPr>
        <w:t>二</w:t>
      </w:r>
      <w:r>
        <w:rPr>
          <w:rFonts w:hint="eastAsia" w:ascii="仿宋_GB2312" w:eastAsia="仿宋_GB2312"/>
          <w:sz w:val="32"/>
          <w:szCs w:val="32"/>
        </w:rPr>
        <w:t>级机构</w:t>
      </w:r>
      <w:r>
        <w:rPr>
          <w:rFonts w:hint="eastAsia" w:ascii="仿宋_GB2312" w:eastAsia="仿宋_GB2312"/>
          <w:sz w:val="32"/>
          <w:szCs w:val="32"/>
          <w:lang w:eastAsia="zh-CN"/>
        </w:rPr>
        <w:t>一个（</w:t>
      </w:r>
      <w:r>
        <w:rPr>
          <w:rFonts w:hint="eastAsia" w:ascii="仿宋_GB2312" w:eastAsia="仿宋_GB2312"/>
          <w:sz w:val="32"/>
          <w:szCs w:val="32"/>
        </w:rPr>
        <w:t>望城区政府投资审计中心</w:t>
      </w:r>
      <w:r>
        <w:rPr>
          <w:rFonts w:hint="eastAsia" w:ascii="仿宋_GB2312" w:eastAsia="仿宋_GB2312"/>
          <w:sz w:val="32"/>
          <w:szCs w:val="32"/>
          <w:lang w:eastAsia="zh-CN"/>
        </w:rPr>
        <w:t>），事业编制</w:t>
      </w:r>
      <w:r>
        <w:rPr>
          <w:rFonts w:hint="eastAsia" w:ascii="仿宋_GB2312" w:eastAsia="仿宋_GB2312"/>
          <w:sz w:val="32"/>
          <w:szCs w:val="32"/>
          <w:lang w:val="en-US" w:eastAsia="zh-CN"/>
        </w:rPr>
        <w:t>10人，实有人数5人</w:t>
      </w:r>
      <w:r>
        <w:rPr>
          <w:rFonts w:hint="eastAsia" w:ascii="仿宋_GB2312" w:eastAsia="仿宋_GB2312"/>
          <w:sz w:val="32"/>
          <w:szCs w:val="32"/>
        </w:rPr>
        <w:t>，未实行独立核算。临聘人员7人，退休人员10人。</w:t>
      </w:r>
    </w:p>
    <w:p>
      <w:pPr>
        <w:keepNext w:val="0"/>
        <w:keepLines w:val="0"/>
        <w:pageBreakBefore w:val="0"/>
        <w:kinsoku/>
        <w:wordWrap/>
        <w:overflowPunct/>
        <w:topLinePunct w:val="0"/>
        <w:autoSpaceDE/>
        <w:autoSpaceDN/>
        <w:bidi w:val="0"/>
        <w:adjustRightInd/>
        <w:snapToGrid/>
        <w:spacing w:line="600" w:lineRule="exact"/>
        <w:ind w:firstLine="600" w:firstLineChars="200"/>
        <w:jc w:val="both"/>
        <w:rPr>
          <w:rFonts w:hint="eastAsia" w:ascii="Times New Roman" w:hAnsi="Times New Roman" w:eastAsia="黑体" w:cs="Times New Roman"/>
          <w:sz w:val="30"/>
          <w:lang w:eastAsia="zh-CN"/>
        </w:rPr>
      </w:pPr>
      <w:r>
        <w:rPr>
          <w:rFonts w:hint="eastAsia" w:ascii="Times New Roman" w:hAnsi="Times New Roman" w:eastAsia="黑体" w:cs="Times New Roman"/>
          <w:sz w:val="30"/>
          <w:lang w:eastAsia="zh-CN"/>
        </w:rPr>
        <w:t>二、</w:t>
      </w:r>
      <w:r>
        <w:rPr>
          <w:rFonts w:hint="default" w:ascii="Times New Roman" w:hAnsi="Times New Roman" w:eastAsia="黑体" w:cs="Times New Roman"/>
          <w:sz w:val="30"/>
          <w:lang w:eastAsia="zh-CN"/>
        </w:rPr>
        <w:t>预算管理及执行情况</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jc w:val="both"/>
        <w:outlineLvl w:val="9"/>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w:t>
      </w:r>
      <w:r>
        <w:rPr>
          <w:rFonts w:hint="eastAsia" w:ascii="楷体" w:hAnsi="楷体" w:eastAsia="楷体" w:cs="楷体"/>
          <w:sz w:val="32"/>
          <w:szCs w:val="32"/>
          <w:lang w:val="en-US" w:eastAsia="zh-CN"/>
        </w:rPr>
        <w:t>一）</w:t>
      </w:r>
      <w:r>
        <w:rPr>
          <w:rFonts w:hint="eastAsia" w:ascii="楷体" w:hAnsi="楷体" w:eastAsia="楷体" w:cs="楷体"/>
          <w:sz w:val="32"/>
          <w:szCs w:val="32"/>
        </w:rPr>
        <w:t>收支总体情况 </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05" w:beforeAutospacing="0" w:after="105" w:afterAutospacing="0" w:line="600" w:lineRule="exact"/>
        <w:ind w:right="0" w:rightChars="0" w:firstLine="640" w:firstLineChars="200"/>
        <w:jc w:val="both"/>
        <w:textAlignment w:val="center"/>
        <w:outlineLvl w:val="9"/>
        <w:rPr>
          <w:rFonts w:hint="eastAsia" w:ascii="仿宋_GB2312" w:hAnsi="Calibri" w:eastAsia="仿宋_GB2312" w:cs="Times New Roman"/>
          <w:kern w:val="2"/>
          <w:sz w:val="32"/>
          <w:szCs w:val="32"/>
          <w:lang w:val="en-US" w:eastAsia="zh-CN" w:bidi="ar-SA"/>
        </w:rPr>
      </w:pPr>
      <w:r>
        <w:rPr>
          <w:rFonts w:hint="eastAsia" w:cs="Times New Roman"/>
          <w:kern w:val="2"/>
          <w:sz w:val="32"/>
          <w:szCs w:val="32"/>
          <w:lang w:val="en-US" w:eastAsia="zh-CN" w:bidi="ar-SA"/>
        </w:rPr>
        <w:t>1、</w:t>
      </w:r>
      <w:r>
        <w:rPr>
          <w:rFonts w:hint="eastAsia" w:ascii="仿宋_GB2312" w:hAnsi="Calibri" w:eastAsia="仿宋_GB2312" w:cs="Times New Roman"/>
          <w:kern w:val="2"/>
          <w:sz w:val="32"/>
          <w:szCs w:val="32"/>
          <w:lang w:val="en-US" w:eastAsia="zh-CN" w:bidi="ar-SA"/>
        </w:rPr>
        <w:t>收入</w:t>
      </w:r>
      <w:r>
        <w:rPr>
          <w:rFonts w:hint="eastAsia" w:cs="Times New Roman"/>
          <w:kern w:val="2"/>
          <w:sz w:val="32"/>
          <w:szCs w:val="32"/>
          <w:lang w:val="en-US" w:eastAsia="zh-CN" w:bidi="ar-SA"/>
        </w:rPr>
        <w:t>预算</w:t>
      </w:r>
      <w:r>
        <w:rPr>
          <w:rFonts w:hint="eastAsia" w:ascii="仿宋_GB2312" w:hAnsi="Calibri" w:eastAsia="仿宋_GB2312" w:cs="Times New Roman"/>
          <w:kern w:val="2"/>
          <w:sz w:val="32"/>
          <w:szCs w:val="32"/>
          <w:lang w:val="en-US" w:eastAsia="zh-CN" w:bidi="ar-SA"/>
        </w:rPr>
        <w:t>情况：2019年预算数1590.85万元，其中，一般公共预算拨款1590.85万元，政府性基金预算拨款0万元，国有资本经营预算拨款0万元，纳入专户管理的非税收入0万元。收入较去年有所增加，主要是工资政策性调标、人员调入，其相关的各项经费也随之增加。 </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05" w:beforeAutospacing="0" w:after="105" w:afterAutospacing="0" w:line="600" w:lineRule="exact"/>
        <w:ind w:right="0" w:rightChars="0" w:firstLine="640" w:firstLineChars="200"/>
        <w:jc w:val="both"/>
        <w:textAlignment w:val="center"/>
        <w:outlineLvl w:val="9"/>
        <w:rPr>
          <w:rFonts w:hint="eastAsia" w:ascii="仿宋_GB2312" w:hAnsi="Calibri" w:eastAsia="仿宋_GB2312" w:cs="Times New Roman"/>
          <w:kern w:val="2"/>
          <w:sz w:val="32"/>
          <w:szCs w:val="32"/>
          <w:lang w:val="en-US" w:eastAsia="zh-CN" w:bidi="ar-SA"/>
        </w:rPr>
      </w:pPr>
      <w:r>
        <w:rPr>
          <w:rFonts w:hint="eastAsia" w:cs="Times New Roman"/>
          <w:kern w:val="2"/>
          <w:sz w:val="32"/>
          <w:szCs w:val="32"/>
          <w:lang w:val="en-US" w:eastAsia="zh-CN" w:bidi="ar-SA"/>
        </w:rPr>
        <w:t>2、</w:t>
      </w:r>
      <w:r>
        <w:rPr>
          <w:rFonts w:hint="eastAsia" w:ascii="仿宋_GB2312" w:hAnsi="Calibri" w:eastAsia="仿宋_GB2312" w:cs="Times New Roman"/>
          <w:kern w:val="2"/>
          <w:sz w:val="32"/>
          <w:szCs w:val="32"/>
          <w:lang w:val="en-US" w:eastAsia="zh-CN" w:bidi="ar-SA"/>
        </w:rPr>
        <w:t>支出预算情况：2019年预算数1590.85万元，基本支出640.02万元，项目支出950.83万元。支出较去年有所增加，主要是工资政策性调标、人员调入，其相关的各项经费也随之增加。 </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05" w:beforeAutospacing="0" w:after="105" w:afterAutospacing="0" w:line="600" w:lineRule="exact"/>
        <w:ind w:right="0" w:rightChars="0" w:firstLine="640" w:firstLineChars="200"/>
        <w:jc w:val="both"/>
        <w:textAlignment w:val="center"/>
        <w:outlineLvl w:val="9"/>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（二）决算编制方面</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05" w:beforeAutospacing="0" w:after="105" w:afterAutospacing="0" w:line="600" w:lineRule="exact"/>
        <w:ind w:right="0" w:rightChars="0" w:firstLine="640" w:firstLineChars="200"/>
        <w:jc w:val="both"/>
        <w:textAlignment w:val="center"/>
        <w:outlineLvl w:val="9"/>
        <w:rPr>
          <w:rFonts w:hint="eastAsia"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2019年度财政拨款收入为</w:t>
      </w:r>
      <w:r>
        <w:rPr>
          <w:rFonts w:hint="eastAsia" w:cs="Times New Roman"/>
          <w:kern w:val="2"/>
          <w:sz w:val="32"/>
          <w:szCs w:val="32"/>
          <w:lang w:val="en-US" w:eastAsia="zh-CN" w:bidi="ar-SA"/>
        </w:rPr>
        <w:t>1590.85</w:t>
      </w:r>
      <w:r>
        <w:rPr>
          <w:rFonts w:hint="eastAsia" w:ascii="仿宋_GB2312" w:hAnsi="Calibri" w:eastAsia="仿宋_GB2312" w:cs="Times New Roman"/>
          <w:kern w:val="2"/>
          <w:sz w:val="32"/>
          <w:szCs w:val="32"/>
          <w:lang w:val="en-US" w:eastAsia="zh-CN" w:bidi="ar-SA"/>
        </w:rPr>
        <w:t>万元，财政拨款支出</w:t>
      </w:r>
      <w:r>
        <w:rPr>
          <w:rFonts w:hint="eastAsia" w:cs="Times New Roman"/>
          <w:kern w:val="2"/>
          <w:sz w:val="32"/>
          <w:szCs w:val="32"/>
          <w:lang w:val="en-US" w:eastAsia="zh-CN" w:bidi="ar-SA"/>
        </w:rPr>
        <w:t>为1590.85</w:t>
      </w:r>
      <w:r>
        <w:rPr>
          <w:rFonts w:hint="eastAsia" w:ascii="仿宋_GB2312" w:hAnsi="Calibri" w:eastAsia="仿宋_GB2312" w:cs="Times New Roman"/>
          <w:kern w:val="2"/>
          <w:sz w:val="32"/>
          <w:szCs w:val="32"/>
          <w:lang w:val="en-US" w:eastAsia="zh-CN" w:bidi="ar-SA"/>
        </w:rPr>
        <w:t>万元</w:t>
      </w:r>
      <w:r>
        <w:rPr>
          <w:rFonts w:hint="eastAsia" w:cs="Times New Roman"/>
          <w:kern w:val="2"/>
          <w:sz w:val="32"/>
          <w:szCs w:val="32"/>
          <w:lang w:val="en-US" w:eastAsia="zh-CN" w:bidi="ar-SA"/>
        </w:rPr>
        <w:t>，其中，</w:t>
      </w:r>
      <w:r>
        <w:rPr>
          <w:rFonts w:hint="eastAsia" w:ascii="仿宋_GB2312" w:hAnsi="Calibri" w:eastAsia="仿宋_GB2312" w:cs="Times New Roman"/>
          <w:kern w:val="2"/>
          <w:sz w:val="32"/>
          <w:szCs w:val="32"/>
          <w:lang w:val="en-US" w:eastAsia="zh-CN" w:bidi="ar-SA"/>
        </w:rPr>
        <w:t>基本支出中</w:t>
      </w:r>
      <w:r>
        <w:rPr>
          <w:rFonts w:hint="eastAsia" w:cs="Times New Roman"/>
          <w:kern w:val="2"/>
          <w:sz w:val="32"/>
          <w:szCs w:val="32"/>
          <w:lang w:val="en-US" w:eastAsia="zh-CN" w:bidi="ar-SA"/>
        </w:rPr>
        <w:t>工资福利</w:t>
      </w:r>
      <w:r>
        <w:rPr>
          <w:rFonts w:hint="eastAsia" w:ascii="仿宋_GB2312" w:hAnsi="Calibri" w:eastAsia="仿宋_GB2312" w:cs="Times New Roman"/>
          <w:kern w:val="2"/>
          <w:sz w:val="32"/>
          <w:szCs w:val="32"/>
          <w:lang w:val="en-US" w:eastAsia="zh-CN" w:bidi="ar-SA"/>
        </w:rPr>
        <w:t>支出为</w:t>
      </w:r>
      <w:r>
        <w:rPr>
          <w:rFonts w:hint="eastAsia" w:cs="Times New Roman"/>
          <w:kern w:val="2"/>
          <w:sz w:val="32"/>
          <w:szCs w:val="32"/>
          <w:lang w:val="en-US" w:eastAsia="zh-CN" w:bidi="ar-SA"/>
        </w:rPr>
        <w:t>507.15</w:t>
      </w:r>
      <w:r>
        <w:rPr>
          <w:rFonts w:hint="eastAsia" w:ascii="仿宋_GB2312" w:hAnsi="Calibri" w:eastAsia="仿宋_GB2312" w:cs="Times New Roman"/>
          <w:kern w:val="2"/>
          <w:sz w:val="32"/>
          <w:szCs w:val="32"/>
          <w:lang w:val="en-US" w:eastAsia="zh-CN" w:bidi="ar-SA"/>
        </w:rPr>
        <w:t>万元，占总支出的</w:t>
      </w:r>
      <w:r>
        <w:rPr>
          <w:rFonts w:hint="eastAsia" w:cs="Times New Roman"/>
          <w:kern w:val="2"/>
          <w:sz w:val="32"/>
          <w:szCs w:val="32"/>
          <w:lang w:val="en-US" w:eastAsia="zh-CN" w:bidi="ar-SA"/>
        </w:rPr>
        <w:t>31.88</w:t>
      </w:r>
      <w:r>
        <w:rPr>
          <w:rFonts w:hint="eastAsia" w:ascii="仿宋_GB2312" w:hAnsi="Calibri" w:eastAsia="仿宋_GB2312" w:cs="Times New Roman"/>
          <w:kern w:val="2"/>
          <w:sz w:val="32"/>
          <w:szCs w:val="32"/>
          <w:lang w:val="en-US" w:eastAsia="zh-CN" w:bidi="ar-SA"/>
        </w:rPr>
        <w:t>%，商品</w:t>
      </w:r>
      <w:r>
        <w:rPr>
          <w:rFonts w:hint="eastAsia" w:cs="Times New Roman"/>
          <w:kern w:val="2"/>
          <w:sz w:val="32"/>
          <w:szCs w:val="32"/>
          <w:lang w:val="en-US" w:eastAsia="zh-CN" w:bidi="ar-SA"/>
        </w:rPr>
        <w:t>和</w:t>
      </w:r>
      <w:r>
        <w:rPr>
          <w:rFonts w:hint="eastAsia" w:ascii="仿宋_GB2312" w:hAnsi="Calibri" w:eastAsia="仿宋_GB2312" w:cs="Times New Roman"/>
          <w:kern w:val="2"/>
          <w:sz w:val="32"/>
          <w:szCs w:val="32"/>
          <w:lang w:val="en-US" w:eastAsia="zh-CN" w:bidi="ar-SA"/>
        </w:rPr>
        <w:t>服务支出为</w:t>
      </w:r>
      <w:r>
        <w:rPr>
          <w:rFonts w:hint="eastAsia" w:cs="Times New Roman"/>
          <w:kern w:val="2"/>
          <w:sz w:val="32"/>
          <w:szCs w:val="32"/>
          <w:lang w:val="en-US" w:eastAsia="zh-CN" w:bidi="ar-SA"/>
        </w:rPr>
        <w:t>660.03</w:t>
      </w:r>
      <w:r>
        <w:rPr>
          <w:rFonts w:hint="eastAsia" w:ascii="仿宋_GB2312" w:hAnsi="Calibri" w:eastAsia="仿宋_GB2312" w:cs="Times New Roman"/>
          <w:kern w:val="2"/>
          <w:sz w:val="32"/>
          <w:szCs w:val="32"/>
          <w:lang w:val="en-US" w:eastAsia="zh-CN" w:bidi="ar-SA"/>
        </w:rPr>
        <w:t>万元，占总支出的</w:t>
      </w:r>
      <w:r>
        <w:rPr>
          <w:rFonts w:hint="eastAsia" w:cs="Times New Roman"/>
          <w:kern w:val="2"/>
          <w:sz w:val="32"/>
          <w:szCs w:val="32"/>
          <w:lang w:val="en-US" w:eastAsia="zh-CN" w:bidi="ar-SA"/>
        </w:rPr>
        <w:t>41.49</w:t>
      </w:r>
      <w:r>
        <w:rPr>
          <w:rFonts w:hint="eastAsia" w:ascii="仿宋_GB2312" w:hAnsi="Calibri" w:eastAsia="仿宋_GB2312" w:cs="Times New Roman"/>
          <w:kern w:val="2"/>
          <w:sz w:val="32"/>
          <w:szCs w:val="32"/>
          <w:lang w:val="en-US" w:eastAsia="zh-CN" w:bidi="ar-SA"/>
        </w:rPr>
        <w:t>%，对个人和家庭的补助支出为</w:t>
      </w:r>
      <w:r>
        <w:rPr>
          <w:rFonts w:hint="eastAsia" w:cs="Times New Roman"/>
          <w:kern w:val="2"/>
          <w:sz w:val="32"/>
          <w:szCs w:val="32"/>
          <w:lang w:val="en-US" w:eastAsia="zh-CN" w:bidi="ar-SA"/>
        </w:rPr>
        <w:t>48.31</w:t>
      </w:r>
      <w:r>
        <w:rPr>
          <w:rFonts w:hint="eastAsia" w:ascii="仿宋_GB2312" w:hAnsi="Calibri" w:eastAsia="仿宋_GB2312" w:cs="Times New Roman"/>
          <w:kern w:val="2"/>
          <w:sz w:val="32"/>
          <w:szCs w:val="32"/>
          <w:lang w:val="en-US" w:eastAsia="zh-CN" w:bidi="ar-SA"/>
        </w:rPr>
        <w:t>万元，占总支出的</w:t>
      </w:r>
      <w:r>
        <w:rPr>
          <w:rFonts w:hint="eastAsia" w:cs="Times New Roman"/>
          <w:kern w:val="2"/>
          <w:sz w:val="32"/>
          <w:szCs w:val="32"/>
          <w:lang w:val="en-US" w:eastAsia="zh-CN" w:bidi="ar-SA"/>
        </w:rPr>
        <w:t>3.04</w:t>
      </w:r>
      <w:r>
        <w:rPr>
          <w:rFonts w:hint="eastAsia" w:ascii="仿宋_GB2312" w:hAnsi="Calibri" w:eastAsia="仿宋_GB2312" w:cs="Times New Roman"/>
          <w:kern w:val="2"/>
          <w:sz w:val="32"/>
          <w:szCs w:val="32"/>
          <w:lang w:val="en-US" w:eastAsia="zh-CN" w:bidi="ar-SA"/>
        </w:rPr>
        <w:t>%。</w:t>
      </w:r>
      <w:r>
        <w:rPr>
          <w:rFonts w:hint="eastAsia" w:cs="Times New Roman"/>
          <w:kern w:val="2"/>
          <w:sz w:val="32"/>
          <w:szCs w:val="32"/>
          <w:lang w:val="en-US" w:eastAsia="zh-CN" w:bidi="ar-SA"/>
        </w:rPr>
        <w:t>我单位年末无结余结转 。    </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05" w:beforeAutospacing="0" w:after="105" w:afterAutospacing="0" w:line="600" w:lineRule="exact"/>
        <w:ind w:right="0" w:rightChars="0" w:firstLine="640" w:firstLineChars="200"/>
        <w:jc w:val="both"/>
        <w:textAlignment w:val="center"/>
        <w:outlineLvl w:val="9"/>
        <w:rPr>
          <w:rFonts w:hint="eastAsia" w:cs="Times New Roman"/>
          <w:kern w:val="2"/>
          <w:sz w:val="32"/>
          <w:szCs w:val="32"/>
          <w:lang w:val="en-US" w:eastAsia="zh-CN" w:bidi="ar-SA"/>
        </w:rPr>
      </w:pPr>
      <w:r>
        <w:rPr>
          <w:rFonts w:hint="eastAsia" w:ascii="楷体" w:hAnsi="楷体" w:eastAsia="楷体" w:cs="楷体"/>
          <w:kern w:val="2"/>
          <w:sz w:val="32"/>
          <w:szCs w:val="32"/>
          <w:lang w:val="en-US" w:eastAsia="zh-CN" w:bidi="ar-SA"/>
        </w:rPr>
        <w:t>（三）执行管理情况</w:t>
      </w:r>
      <w:r>
        <w:rPr>
          <w:rFonts w:hint="eastAsia" w:ascii="微软雅黑" w:hAnsi="微软雅黑" w:eastAsia="微软雅黑" w:cs="微软雅黑"/>
          <w:i w:val="0"/>
          <w:caps w:val="0"/>
          <w:color w:val="555555"/>
          <w:spacing w:val="0"/>
          <w:sz w:val="19"/>
          <w:szCs w:val="19"/>
          <w:shd w:val="clear" w:fill="FFFFFF"/>
        </w:rPr>
        <w:br w:type="textWrapping"/>
      </w:r>
      <w:r>
        <w:rPr>
          <w:rFonts w:hint="eastAsia" w:ascii="微软雅黑" w:hAnsi="微软雅黑" w:eastAsia="微软雅黑" w:cs="微软雅黑"/>
          <w:i w:val="0"/>
          <w:caps w:val="0"/>
          <w:color w:val="555555"/>
          <w:spacing w:val="0"/>
          <w:sz w:val="19"/>
          <w:szCs w:val="19"/>
          <w:shd w:val="clear" w:fill="FFFFFF"/>
        </w:rPr>
        <w:t xml:space="preserve">  </w:t>
      </w:r>
      <w:r>
        <w:rPr>
          <w:rFonts w:hint="eastAsia" w:cs="Times New Roman"/>
          <w:kern w:val="2"/>
          <w:sz w:val="32"/>
          <w:szCs w:val="32"/>
          <w:lang w:val="en-US" w:eastAsia="zh-CN" w:bidi="ar-SA"/>
        </w:rPr>
        <w:t>     2019年，本部门共拨款1590.85万元，预算执行进度为100%。</w:t>
      </w:r>
    </w:p>
    <w:p>
      <w:pPr>
        <w:keepNext w:val="0"/>
        <w:keepLines w:val="0"/>
        <w:pageBreakBefore w:val="0"/>
        <w:kinsoku/>
        <w:wordWrap/>
        <w:overflowPunct/>
        <w:topLinePunct w:val="0"/>
        <w:autoSpaceDE/>
        <w:autoSpaceDN/>
        <w:bidi w:val="0"/>
        <w:adjustRightInd/>
        <w:snapToGrid/>
        <w:spacing w:line="600" w:lineRule="exact"/>
        <w:ind w:firstLine="600" w:firstLineChars="200"/>
        <w:jc w:val="both"/>
        <w:rPr>
          <w:rFonts w:hint="eastAsia" w:ascii="Times New Roman" w:hAnsi="Times New Roman" w:eastAsia="黑体" w:cs="Times New Roman"/>
          <w:sz w:val="30"/>
          <w:lang w:eastAsia="zh-CN"/>
        </w:rPr>
      </w:pPr>
      <w:r>
        <w:rPr>
          <w:rFonts w:hint="eastAsia" w:ascii="Times New Roman" w:hAnsi="Times New Roman" w:eastAsia="黑体" w:cs="Times New Roman"/>
          <w:sz w:val="30"/>
          <w:lang w:eastAsia="zh-CN"/>
        </w:rPr>
        <w:t>三、资产管理情况</w:t>
      </w:r>
    </w:p>
    <w:p>
      <w:pPr>
        <w:keepNext w:val="0"/>
        <w:keepLines w:val="0"/>
        <w:pageBreakBefore w:val="0"/>
        <w:kinsoku/>
        <w:wordWrap/>
        <w:overflowPunct/>
        <w:topLinePunct w:val="0"/>
        <w:autoSpaceDE/>
        <w:autoSpaceDN/>
        <w:bidi w:val="0"/>
        <w:adjustRightInd/>
        <w:snapToGrid/>
        <w:spacing w:line="600" w:lineRule="exact"/>
        <w:ind w:firstLine="720" w:firstLineChars="225"/>
        <w:jc w:val="both"/>
        <w:rPr>
          <w:rFonts w:hint="eastAsia" w:cs="Times New Roman"/>
          <w:kern w:val="2"/>
          <w:sz w:val="32"/>
          <w:szCs w:val="32"/>
          <w:lang w:val="en-US" w:eastAsia="zh-CN" w:bidi="ar-SA"/>
        </w:rPr>
      </w:pPr>
      <w:r>
        <w:rPr>
          <w:rFonts w:hint="eastAsia" w:ascii="仿宋_GB2312" w:eastAsia="仿宋_GB2312"/>
          <w:sz w:val="32"/>
          <w:szCs w:val="32"/>
          <w:lang w:eastAsia="zh-CN"/>
        </w:rPr>
        <w:t>截</w:t>
      </w:r>
      <w:r>
        <w:rPr>
          <w:rFonts w:hint="eastAsia"/>
          <w:sz w:val="32"/>
          <w:szCs w:val="32"/>
          <w:lang w:eastAsia="zh-CN"/>
        </w:rPr>
        <w:t>至</w:t>
      </w:r>
      <w:bookmarkStart w:id="0" w:name="_GoBack"/>
      <w:bookmarkEnd w:id="0"/>
      <w:r>
        <w:rPr>
          <w:rFonts w:hint="eastAsia" w:ascii="仿宋_GB2312" w:eastAsia="仿宋_GB2312"/>
          <w:sz w:val="32"/>
          <w:szCs w:val="32"/>
          <w:lang w:val="en-US" w:eastAsia="zh-CN"/>
        </w:rPr>
        <w:t>2019年12月31日，我单位资产合计106.76万元，其中流动资产46.09万元，</w:t>
      </w:r>
      <w:r>
        <w:rPr>
          <w:rFonts w:hint="eastAsia" w:ascii="仿宋_GB2312" w:eastAsia="仿宋_GB2312"/>
          <w:sz w:val="32"/>
          <w:szCs w:val="32"/>
        </w:rPr>
        <w:t>占资产总额比例</w:t>
      </w:r>
      <w:r>
        <w:rPr>
          <w:rFonts w:hint="eastAsia" w:ascii="仿宋_GB2312" w:eastAsia="仿宋_GB2312"/>
          <w:sz w:val="32"/>
          <w:szCs w:val="32"/>
          <w:lang w:val="en-US" w:eastAsia="zh-CN"/>
        </w:rPr>
        <w:t>43.2%，固定资产账面净值60.67万元，</w:t>
      </w:r>
      <w:r>
        <w:rPr>
          <w:rFonts w:hint="eastAsia" w:ascii="仿宋_GB2312" w:eastAsia="仿宋_GB2312"/>
          <w:sz w:val="32"/>
          <w:szCs w:val="32"/>
        </w:rPr>
        <w:t>占资产总额比例</w:t>
      </w:r>
      <w:r>
        <w:rPr>
          <w:rFonts w:hint="eastAsia" w:ascii="仿宋_GB2312" w:eastAsia="仿宋_GB2312"/>
          <w:sz w:val="32"/>
          <w:szCs w:val="32"/>
          <w:lang w:val="en-US" w:eastAsia="zh-CN"/>
        </w:rPr>
        <w:t>56.8%。本部门无专用设备、车辆。 </w:t>
      </w:r>
      <w:r>
        <w:rPr>
          <w:rFonts w:hint="eastAsia" w:ascii="仿宋_GB2312" w:eastAsia="仿宋_GB2312"/>
          <w:sz w:val="32"/>
          <w:szCs w:val="32"/>
        </w:rPr>
        <w:t>资产变动</w:t>
      </w:r>
      <w:r>
        <w:rPr>
          <w:rFonts w:hint="eastAsia" w:ascii="仿宋_GB2312" w:eastAsia="仿宋_GB2312"/>
          <w:sz w:val="32"/>
          <w:szCs w:val="32"/>
          <w:lang w:eastAsia="zh-CN"/>
        </w:rPr>
        <w:t>主要是由于累计折旧的计提，</w:t>
      </w:r>
      <w:r>
        <w:rPr>
          <w:rFonts w:hint="eastAsia" w:ascii="仿宋_GB2312" w:eastAsia="仿宋_GB2312"/>
          <w:sz w:val="32"/>
          <w:szCs w:val="32"/>
        </w:rPr>
        <w:t>总资产、流动资产、固定资产</w:t>
      </w:r>
      <w:r>
        <w:rPr>
          <w:rFonts w:hint="eastAsia" w:ascii="仿宋_GB2312" w:eastAsia="仿宋_GB2312"/>
          <w:sz w:val="32"/>
          <w:szCs w:val="32"/>
          <w:lang w:eastAsia="zh-CN"/>
        </w:rPr>
        <w:t>的</w:t>
      </w:r>
      <w:r>
        <w:rPr>
          <w:rFonts w:hint="eastAsia" w:ascii="仿宋_GB2312" w:eastAsia="仿宋_GB2312"/>
          <w:sz w:val="32"/>
          <w:szCs w:val="32"/>
        </w:rPr>
        <w:t>增长率情况</w:t>
      </w:r>
      <w:r>
        <w:rPr>
          <w:rFonts w:hint="eastAsia" w:ascii="仿宋_GB2312" w:eastAsia="仿宋_GB2312"/>
          <w:sz w:val="32"/>
          <w:szCs w:val="32"/>
          <w:lang w:eastAsia="zh-CN"/>
        </w:rPr>
        <w:t>趋于平稳</w:t>
      </w:r>
      <w:r>
        <w:rPr>
          <w:rFonts w:hint="eastAsia" w:ascii="仿宋_GB2312" w:eastAsia="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jc w:val="both"/>
        <w:textAlignment w:val="auto"/>
        <w:outlineLvl w:val="9"/>
        <w:rPr>
          <w:rFonts w:hint="default" w:ascii="Times New Roman" w:hAnsi="Times New Roman" w:eastAsia="黑体" w:cs="Times New Roman"/>
          <w:sz w:val="30"/>
        </w:rPr>
      </w:pPr>
      <w:r>
        <w:rPr>
          <w:rFonts w:hint="eastAsia" w:ascii="Times New Roman" w:hAnsi="Times New Roman" w:eastAsia="黑体" w:cs="Times New Roman"/>
          <w:sz w:val="30"/>
          <w:lang w:eastAsia="zh-CN"/>
        </w:rPr>
        <w:t>四、</w:t>
      </w:r>
      <w:r>
        <w:rPr>
          <w:rFonts w:hint="default" w:ascii="Times New Roman" w:hAnsi="Times New Roman" w:eastAsia="黑体" w:cs="Times New Roman"/>
          <w:sz w:val="30"/>
        </w:rPr>
        <w:t>整体支出绩效目标及开展情况</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right="0" w:rightChars="0" w:firstLine="640"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Calibri" w:eastAsia="仿宋_GB2312" w:cs="Times New Roman"/>
          <w:kern w:val="2"/>
          <w:sz w:val="32"/>
          <w:szCs w:val="32"/>
          <w:lang w:val="en-US" w:eastAsia="zh-CN" w:bidi="ar-SA"/>
        </w:rPr>
        <w:t>按照预算绩效管理工作的总体要求，</w:t>
      </w:r>
      <w:r>
        <w:rPr>
          <w:rFonts w:hint="eastAsia" w:ascii="仿宋_GB2312" w:eastAsia="仿宋_GB2312"/>
          <w:sz w:val="32"/>
          <w:szCs w:val="32"/>
          <w:lang w:val="en-US" w:eastAsia="zh-CN"/>
        </w:rPr>
        <w:t>编报绩效目标的项目</w:t>
      </w:r>
      <w:r>
        <w:rPr>
          <w:rFonts w:hint="eastAsia"/>
          <w:sz w:val="32"/>
          <w:szCs w:val="32"/>
          <w:lang w:val="en-US" w:eastAsia="zh-CN"/>
        </w:rPr>
        <w:t>有</w:t>
      </w:r>
      <w:r>
        <w:rPr>
          <w:rFonts w:hint="eastAsia" w:ascii="仿宋_GB2312" w:eastAsia="仿宋_GB2312"/>
          <w:sz w:val="32"/>
          <w:szCs w:val="32"/>
          <w:lang w:val="en-US" w:eastAsia="zh-CN"/>
        </w:rPr>
        <w:t>2个，其中：政府投资工程及外购审计服务850万元；经济责任审计150万元，全部实行项目支出绩效目标管理。 我局聘请社会中介组织协助我局开展审计工作，</w:t>
      </w:r>
      <w:r>
        <w:rPr>
          <w:rFonts w:hint="eastAsia" w:ascii="仿宋_GB2312" w:eastAsia="仿宋_GB2312"/>
          <w:sz w:val="32"/>
          <w:szCs w:val="32"/>
          <w:lang w:eastAsia="zh-CN"/>
        </w:rPr>
        <w:t>为加强对我局引入</w:t>
      </w:r>
      <w:r>
        <w:rPr>
          <w:rFonts w:hint="eastAsia" w:ascii="仿宋_GB2312" w:hAnsi=".." w:eastAsia="仿宋_GB2312" w:cs="宋体"/>
          <w:color w:val="000000"/>
          <w:kern w:val="0"/>
          <w:sz w:val="32"/>
          <w:szCs w:val="32"/>
        </w:rPr>
        <w:t>社会中介机构实施审计监督的管理，规范中介机构执业行为，维护双方的合法权益，充分发挥社会监督的职能作用，</w:t>
      </w:r>
      <w:r>
        <w:rPr>
          <w:rFonts w:hint="eastAsia" w:ascii="仿宋_GB2312" w:hAnsi="仿宋_GB2312" w:eastAsia="仿宋_GB2312" w:cs="仿宋_GB2312"/>
          <w:color w:val="auto"/>
          <w:sz w:val="32"/>
          <w:szCs w:val="32"/>
          <w:lang w:val="en-US" w:eastAsia="zh-CN"/>
        </w:rPr>
        <w:t>我局制定并印发了《长沙市望城区审计局对引入社会中介机构实施审计监督的管理办法》。政府投资项目审计及外购审计服务项目支出严格按照资金用途及时、足额拨付。日常审计业务工作专项的使用过程中，严格遵守相关财务管理制度和资金管理办法，严格执行审批程序和报账手续，资金按进度拨付，专款专用。专项取得了较好的效果，达到了年初设定的目标，在依法履行审计监督职责方面，审计作为能进一步彰显</w:t>
      </w:r>
      <w:r>
        <w:rPr>
          <w:rFonts w:hint="eastAsia" w:hAnsi="仿宋_GB2312" w:cs="仿宋_GB2312"/>
          <w:color w:val="auto"/>
          <w:sz w:val="32"/>
          <w:szCs w:val="32"/>
          <w:lang w:val="en-US" w:eastAsia="zh-CN"/>
        </w:rPr>
        <w:t>。</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00" w:firstLineChars="200"/>
        <w:jc w:val="both"/>
        <w:textAlignment w:val="auto"/>
        <w:rPr>
          <w:rFonts w:hint="default" w:ascii="Times New Roman" w:hAnsi="Times New Roman" w:eastAsia="黑体" w:cs="Times New Roman"/>
          <w:sz w:val="30"/>
        </w:rPr>
      </w:pPr>
      <w:r>
        <w:rPr>
          <w:rFonts w:hint="eastAsia" w:ascii="Times New Roman" w:hAnsi="Times New Roman" w:eastAsia="黑体" w:cs="Times New Roman"/>
          <w:sz w:val="30"/>
          <w:lang w:eastAsia="zh-CN"/>
        </w:rPr>
        <w:t>五</w:t>
      </w:r>
      <w:r>
        <w:rPr>
          <w:rFonts w:hint="default" w:ascii="Times New Roman" w:hAnsi="Times New Roman" w:eastAsia="黑体" w:cs="Times New Roman"/>
          <w:sz w:val="30"/>
        </w:rPr>
        <w:t>、整体支出绩效实现情况</w:t>
      </w:r>
    </w:p>
    <w:p>
      <w:pPr>
        <w:keepNext w:val="0"/>
        <w:keepLines w:val="0"/>
        <w:pageBreakBefore w:val="0"/>
        <w:kinsoku/>
        <w:wordWrap/>
        <w:overflowPunct/>
        <w:topLinePunct w:val="0"/>
        <w:autoSpaceDE/>
        <w:autoSpaceDN/>
        <w:bidi w:val="0"/>
        <w:adjustRightInd/>
        <w:snapToGrid/>
        <w:spacing w:beforeAutospacing="0" w:afterAutospacing="0" w:line="600" w:lineRule="exact"/>
        <w:ind w:firstLine="645"/>
        <w:jc w:val="both"/>
        <w:textAlignment w:val="auto"/>
        <w:outlineLvl w:val="9"/>
        <w:rPr>
          <w:rFonts w:hint="eastAsia" w:ascii="仿宋_GB2312" w:hAnsi="仿宋_GB2312" w:eastAsia="宋体" w:cs="仿宋_GB2312"/>
          <w:color w:val="000000"/>
          <w:sz w:val="32"/>
          <w:szCs w:val="32"/>
          <w:lang w:eastAsia="zh-CN"/>
        </w:rPr>
      </w:pPr>
      <w:r>
        <w:rPr>
          <w:rFonts w:hint="eastAsia" w:ascii="仿宋_GB2312" w:hAnsi="仿宋_GB2312" w:eastAsia="仿宋_GB2312" w:cs="仿宋_GB2312"/>
          <w:color w:val="auto"/>
          <w:kern w:val="0"/>
          <w:sz w:val="32"/>
          <w:szCs w:val="32"/>
          <w:lang w:val="en-US" w:eastAsia="zh-CN" w:bidi="ar"/>
        </w:rPr>
        <w:t>2019年，我局积极推行预算绩效管理，强化对资金使用情况的预算约束和监管，最大限度地降低行政成本，提高财政资金的使用效益</w:t>
      </w:r>
      <w:r>
        <w:rPr>
          <w:rFonts w:hint="eastAsia" w:hAnsi="仿宋_GB2312" w:cs="仿宋_GB2312"/>
          <w:color w:val="auto"/>
          <w:kern w:val="0"/>
          <w:sz w:val="32"/>
          <w:szCs w:val="32"/>
          <w:lang w:val="en-US" w:eastAsia="zh-CN" w:bidi="ar"/>
        </w:rPr>
        <w:t>，</w:t>
      </w:r>
      <w:r>
        <w:rPr>
          <w:rFonts w:hint="eastAsia" w:ascii="仿宋_GB2312" w:hAnsi="仿宋_GB2312" w:eastAsia="仿宋_GB2312" w:cs="仿宋_GB2312"/>
          <w:color w:val="auto"/>
          <w:kern w:val="0"/>
          <w:sz w:val="32"/>
          <w:szCs w:val="32"/>
          <w:lang w:val="en-US" w:eastAsia="zh-CN" w:bidi="ar"/>
        </w:rPr>
        <w:t>取得了较好的效益。全年</w:t>
      </w:r>
      <w:r>
        <w:rPr>
          <w:rFonts w:hint="eastAsia" w:hAnsi="仿宋_GB2312" w:cs="仿宋_GB2312"/>
          <w:color w:val="auto"/>
          <w:kern w:val="0"/>
          <w:sz w:val="32"/>
          <w:szCs w:val="32"/>
          <w:lang w:val="en-US" w:eastAsia="zh-CN" w:bidi="ar"/>
        </w:rPr>
        <w:t>共</w:t>
      </w:r>
      <w:r>
        <w:rPr>
          <w:rFonts w:hint="eastAsia" w:ascii="仿宋_GB2312" w:hAnsi="仿宋_GB2312" w:eastAsia="仿宋_GB2312" w:cs="仿宋_GB2312"/>
          <w:color w:val="000000"/>
          <w:sz w:val="32"/>
          <w:szCs w:val="32"/>
          <w:shd w:val="clear" w:color="auto" w:fill="auto"/>
        </w:rPr>
        <w:t>开展审计项目</w:t>
      </w:r>
      <w:r>
        <w:rPr>
          <w:rFonts w:hint="eastAsia" w:ascii="仿宋_GB2312" w:hAnsi="仿宋_GB2312" w:eastAsia="仿宋_GB2312" w:cs="仿宋_GB2312"/>
          <w:color w:val="000000"/>
          <w:sz w:val="32"/>
          <w:szCs w:val="32"/>
          <w:shd w:val="clear" w:color="auto" w:fill="auto"/>
          <w:lang w:val="en-US" w:eastAsia="zh-CN"/>
        </w:rPr>
        <w:t>172</w:t>
      </w:r>
      <w:r>
        <w:rPr>
          <w:rFonts w:hint="eastAsia" w:ascii="仿宋_GB2312" w:hAnsi="仿宋_GB2312" w:eastAsia="仿宋_GB2312" w:cs="仿宋_GB2312"/>
          <w:color w:val="000000"/>
          <w:sz w:val="32"/>
          <w:szCs w:val="32"/>
          <w:shd w:val="clear" w:color="auto" w:fill="auto"/>
        </w:rPr>
        <w:t>个</w:t>
      </w:r>
      <w:r>
        <w:rPr>
          <w:rFonts w:hint="eastAsia" w:ascii="仿宋_GB2312" w:hAnsi="仿宋_GB2312" w:eastAsia="仿宋_GB2312" w:cs="仿宋_GB2312"/>
          <w:color w:val="000000"/>
          <w:sz w:val="32"/>
          <w:szCs w:val="32"/>
          <w:shd w:val="clear" w:color="auto" w:fill="auto"/>
          <w:lang w:eastAsia="zh-CN"/>
        </w:rPr>
        <w:t>，</w:t>
      </w:r>
      <w:r>
        <w:rPr>
          <w:rFonts w:hint="eastAsia" w:ascii="仿宋_GB2312" w:hAnsi="仿宋_GB2312" w:eastAsia="仿宋_GB2312" w:cs="仿宋_GB2312"/>
          <w:color w:val="000000"/>
          <w:sz w:val="32"/>
          <w:szCs w:val="32"/>
        </w:rPr>
        <w:t>查出违规金额</w:t>
      </w:r>
      <w:r>
        <w:rPr>
          <w:rFonts w:hint="eastAsia" w:ascii="仿宋_GB2312" w:hAnsi="仿宋_GB2312" w:eastAsia="仿宋_GB2312" w:cs="仿宋_GB2312"/>
          <w:color w:val="000000"/>
          <w:sz w:val="32"/>
          <w:szCs w:val="32"/>
          <w:lang w:val="en-US" w:eastAsia="zh-CN"/>
        </w:rPr>
        <w:t>48511</w:t>
      </w:r>
      <w:r>
        <w:rPr>
          <w:rFonts w:hint="eastAsia" w:ascii="仿宋_GB2312" w:hAnsi="仿宋_GB2312" w:eastAsia="仿宋_GB2312" w:cs="仿宋_GB2312"/>
          <w:color w:val="000000"/>
          <w:sz w:val="32"/>
          <w:szCs w:val="32"/>
        </w:rPr>
        <w:t>万元，管理不规范金额</w:t>
      </w:r>
      <w:r>
        <w:rPr>
          <w:rFonts w:hint="eastAsia" w:ascii="仿宋_GB2312" w:hAnsi="仿宋_GB2312" w:eastAsia="仿宋_GB2312" w:cs="仿宋_GB2312"/>
          <w:color w:val="000000"/>
          <w:sz w:val="32"/>
          <w:szCs w:val="32"/>
          <w:lang w:val="en-US" w:eastAsia="zh-CN"/>
        </w:rPr>
        <w:t>436664</w:t>
      </w:r>
      <w:r>
        <w:rPr>
          <w:rFonts w:hint="eastAsia" w:ascii="仿宋_GB2312" w:hAnsi="仿宋_GB2312" w:eastAsia="仿宋_GB2312" w:cs="仿宋_GB2312"/>
          <w:color w:val="000000"/>
          <w:sz w:val="32"/>
          <w:szCs w:val="32"/>
        </w:rPr>
        <w:t>万元，</w:t>
      </w:r>
      <w:r>
        <w:rPr>
          <w:rFonts w:hint="eastAsia" w:ascii="仿宋_GB2312" w:hAnsi="仿宋_GB2312" w:eastAsia="仿宋_GB2312" w:cs="仿宋_GB2312"/>
          <w:color w:val="000000"/>
          <w:sz w:val="32"/>
          <w:szCs w:val="32"/>
          <w:lang w:eastAsia="zh-CN"/>
        </w:rPr>
        <w:t>为财政增收节支</w:t>
      </w:r>
      <w:r>
        <w:rPr>
          <w:rFonts w:hint="eastAsia" w:ascii="仿宋_GB2312" w:hAnsi="仿宋_GB2312" w:eastAsia="仿宋_GB2312" w:cs="仿宋_GB2312"/>
          <w:color w:val="000000"/>
          <w:sz w:val="32"/>
          <w:szCs w:val="32"/>
          <w:lang w:val="en-US" w:eastAsia="zh-CN"/>
        </w:rPr>
        <w:t>9803万元</w:t>
      </w:r>
      <w:r>
        <w:rPr>
          <w:rFonts w:hint="eastAsia" w:ascii="仿宋_GB2312" w:hAnsi="仿宋_GB2312" w:eastAsia="仿宋_GB2312" w:cs="仿宋_GB2312"/>
          <w:color w:val="000000"/>
          <w:sz w:val="32"/>
          <w:szCs w:val="32"/>
        </w:rPr>
        <w:t>，归还原渠道金额</w:t>
      </w:r>
      <w:r>
        <w:rPr>
          <w:rFonts w:hint="eastAsia" w:ascii="仿宋_GB2312" w:hAnsi="仿宋_GB2312" w:eastAsia="仿宋_GB2312" w:cs="仿宋_GB2312"/>
          <w:color w:val="000000"/>
          <w:sz w:val="32"/>
          <w:szCs w:val="32"/>
          <w:lang w:val="en-US" w:eastAsia="zh-CN"/>
        </w:rPr>
        <w:t>4737</w:t>
      </w:r>
      <w:r>
        <w:rPr>
          <w:rFonts w:hint="eastAsia" w:ascii="仿宋_GB2312" w:hAnsi="仿宋_GB2312" w:eastAsia="仿宋_GB2312" w:cs="仿宋_GB2312"/>
          <w:color w:val="000000"/>
          <w:sz w:val="32"/>
          <w:szCs w:val="32"/>
        </w:rPr>
        <w:t>万元，向区本级纪检监察和有关部门移送案件线索</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起。依法</w:t>
      </w:r>
      <w:r>
        <w:rPr>
          <w:rFonts w:hint="eastAsia" w:ascii="仿宋_GB2312" w:hAnsi="仿宋_GB2312" w:eastAsia="仿宋_GB2312" w:cs="仿宋_GB2312"/>
          <w:color w:val="000000"/>
          <w:sz w:val="32"/>
          <w:szCs w:val="32"/>
          <w:lang w:eastAsia="zh-CN"/>
        </w:rPr>
        <w:t>全面</w:t>
      </w:r>
      <w:r>
        <w:rPr>
          <w:rFonts w:hint="eastAsia" w:ascii="仿宋_GB2312" w:hAnsi="仿宋_GB2312" w:eastAsia="仿宋_GB2312" w:cs="仿宋_GB2312"/>
          <w:color w:val="000000"/>
          <w:sz w:val="32"/>
          <w:szCs w:val="32"/>
        </w:rPr>
        <w:t>履行审计监督职责, 有力地促进了我区经济社会发</w:t>
      </w:r>
      <w:r>
        <w:rPr>
          <w:rFonts w:hint="eastAsia" w:ascii="仿宋_GB2312" w:hAnsi="仿宋_GB2312" w:eastAsia="仿宋_GB2312" w:cs="仿宋_GB2312"/>
          <w:color w:val="000000"/>
          <w:sz w:val="32"/>
          <w:szCs w:val="32"/>
          <w:lang w:val="en-US" w:eastAsia="zh-CN"/>
        </w:rPr>
        <w:t>展，取得了良好的经济效益和社会效益。</w:t>
      </w:r>
    </w:p>
    <w:p>
      <w:pPr>
        <w:keepNext w:val="0"/>
        <w:keepLines w:val="0"/>
        <w:pageBreakBefore w:val="0"/>
        <w:kinsoku/>
        <w:wordWrap/>
        <w:overflowPunct/>
        <w:topLinePunct w:val="0"/>
        <w:autoSpaceDE/>
        <w:autoSpaceDN/>
        <w:bidi w:val="0"/>
        <w:adjustRightInd/>
        <w:snapToGrid/>
        <w:spacing w:line="600" w:lineRule="exact"/>
        <w:ind w:firstLine="600" w:firstLineChars="200"/>
        <w:jc w:val="both"/>
        <w:rPr>
          <w:rFonts w:hint="default" w:ascii="Times New Roman" w:hAnsi="Times New Roman" w:eastAsia="黑体" w:cs="Times New Roman"/>
          <w:sz w:val="30"/>
        </w:rPr>
      </w:pPr>
      <w:r>
        <w:rPr>
          <w:rFonts w:hint="eastAsia" w:ascii="Times New Roman" w:hAnsi="Times New Roman" w:eastAsia="黑体" w:cs="Times New Roman"/>
          <w:sz w:val="30"/>
          <w:lang w:eastAsia="zh-CN"/>
        </w:rPr>
        <w:t>六</w:t>
      </w:r>
      <w:r>
        <w:rPr>
          <w:rFonts w:hint="default" w:ascii="Times New Roman" w:hAnsi="Times New Roman" w:eastAsia="黑体" w:cs="Times New Roman"/>
          <w:sz w:val="30"/>
        </w:rPr>
        <w:t>、整体支出绩效中存在问题及改进措施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739" w:firstLineChars="231"/>
        <w:jc w:val="both"/>
        <w:rPr>
          <w:rFonts w:hint="eastAsia" w:ascii="楷体" w:hAnsi="楷体" w:eastAsia="楷体" w:cs="楷体"/>
          <w:color w:val="000000"/>
          <w:kern w:val="2"/>
          <w:sz w:val="32"/>
          <w:szCs w:val="32"/>
          <w:lang w:val="en-US" w:eastAsia="zh-CN" w:bidi="ar-SA"/>
        </w:rPr>
      </w:pPr>
      <w:r>
        <w:rPr>
          <w:rFonts w:hint="eastAsia" w:ascii="楷体" w:hAnsi="楷体" w:eastAsia="楷体" w:cs="楷体"/>
          <w:color w:val="000000"/>
          <w:kern w:val="2"/>
          <w:sz w:val="32"/>
          <w:szCs w:val="32"/>
          <w:lang w:val="en-US" w:eastAsia="zh-CN" w:bidi="ar-SA"/>
        </w:rPr>
        <w:t>(一)存在的问题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739" w:firstLineChars="231"/>
        <w:jc w:val="both"/>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对指标体系理解不到位,对预算绩效管理缺乏足够重视。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739" w:firstLineChars="231"/>
        <w:jc w:val="both"/>
        <w:rPr>
          <w:rFonts w:hint="eastAsia" w:ascii="楷体" w:hAnsi="楷体" w:eastAsia="楷体" w:cs="楷体"/>
          <w:color w:val="000000"/>
          <w:kern w:val="2"/>
          <w:sz w:val="32"/>
          <w:szCs w:val="32"/>
          <w:lang w:val="en-US" w:eastAsia="zh-CN" w:bidi="ar-SA"/>
        </w:rPr>
      </w:pPr>
      <w:r>
        <w:rPr>
          <w:rFonts w:hint="eastAsia" w:ascii="楷体" w:hAnsi="楷体" w:eastAsia="楷体" w:cs="楷体"/>
          <w:color w:val="000000"/>
          <w:kern w:val="2"/>
          <w:sz w:val="32"/>
          <w:szCs w:val="32"/>
          <w:lang w:val="en-US" w:eastAsia="zh-CN" w:bidi="ar-SA"/>
        </w:rPr>
        <w:t>(二)改进举措和建议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739" w:firstLineChars="231"/>
        <w:jc w:val="both"/>
        <w:rPr>
          <w:rFonts w:hint="eastAsia" w:ascii="仿宋_GB2312" w:hAnsi="仿宋_GB2312" w:eastAsia="仿宋_GB2312" w:cs="仿宋_GB2312"/>
          <w:color w:val="000000"/>
          <w:kern w:val="2"/>
          <w:sz w:val="32"/>
          <w:szCs w:val="32"/>
          <w:lang w:val="en-US" w:eastAsia="zh-CN" w:bidi="ar-SA"/>
        </w:rPr>
      </w:pPr>
      <w:r>
        <w:rPr>
          <w:rFonts w:hint="eastAsia" w:hAnsi="仿宋_GB2312" w:cs="仿宋_GB2312"/>
          <w:color w:val="000000"/>
          <w:kern w:val="2"/>
          <w:sz w:val="32"/>
          <w:szCs w:val="32"/>
          <w:lang w:val="en-US" w:eastAsia="zh-CN" w:bidi="ar-SA"/>
        </w:rPr>
        <w:t>1、</w:t>
      </w:r>
      <w:r>
        <w:rPr>
          <w:rFonts w:hint="eastAsia" w:ascii="仿宋_GB2312" w:hAnsi="仿宋_GB2312" w:eastAsia="仿宋_GB2312" w:cs="仿宋_GB2312"/>
          <w:color w:val="000000"/>
          <w:kern w:val="2"/>
          <w:sz w:val="32"/>
          <w:szCs w:val="32"/>
          <w:lang w:val="en-US" w:eastAsia="zh-CN" w:bidi="ar-SA"/>
        </w:rPr>
        <w:t>进一步完善财务内部管理制度,会计核算及账务处理严格按照资金管理办法,评价项目严格执行财务管理制度、对开支及时进行财务处理、会计核算规范化。严格控制其数量指标、质量指标、时效指标、成本指标、效益指标和满意度指标。</w:t>
      </w:r>
    </w:p>
    <w:p>
      <w:pPr>
        <w:keepNext w:val="0"/>
        <w:keepLines w:val="0"/>
        <w:pageBreakBefore w:val="0"/>
        <w:kinsoku/>
        <w:wordWrap/>
        <w:overflowPunct/>
        <w:topLinePunct w:val="0"/>
        <w:autoSpaceDE/>
        <w:autoSpaceDN/>
        <w:bidi w:val="0"/>
        <w:adjustRightInd/>
        <w:snapToGrid/>
        <w:spacing w:line="600" w:lineRule="exact"/>
        <w:ind w:firstLine="645"/>
        <w:jc w:val="both"/>
        <w:textAlignment w:val="auto"/>
        <w:outlineLvl w:val="9"/>
        <w:rPr>
          <w:rFonts w:hint="eastAsia" w:hAnsi="微软雅黑" w:cs="仿宋_GB2312"/>
          <w:i w:val="0"/>
          <w:caps w:val="0"/>
          <w:color w:val="000000"/>
          <w:spacing w:val="0"/>
          <w:sz w:val="32"/>
          <w:szCs w:val="32"/>
          <w:shd w:val="clear" w:fill="FFFFFF"/>
          <w:lang w:eastAsia="zh-CN"/>
        </w:rPr>
      </w:pPr>
      <w:r>
        <w:rPr>
          <w:rFonts w:hint="eastAsia" w:hAnsi="仿宋_GB2312" w:cs="仿宋_GB2312"/>
          <w:color w:val="000000"/>
          <w:sz w:val="32"/>
          <w:szCs w:val="32"/>
          <w:lang w:val="en-US" w:eastAsia="zh-CN"/>
        </w:rPr>
        <w:t>2、</w:t>
      </w:r>
      <w:r>
        <w:rPr>
          <w:rFonts w:hint="eastAsia" w:ascii="仿宋_GB2312" w:hAnsi="仿宋_GB2312" w:eastAsia="仿宋_GB2312" w:cs="仿宋_GB2312"/>
          <w:color w:val="000000"/>
          <w:sz w:val="32"/>
          <w:szCs w:val="32"/>
        </w:rPr>
        <w:t>加强目标管理，科学设定绩效目标值</w:t>
      </w:r>
      <w:r>
        <w:rPr>
          <w:rFonts w:hint="eastAsia" w:hAnsi="仿宋_GB2312" w:cs="仿宋_GB2312"/>
          <w:color w:val="000000"/>
          <w:sz w:val="32"/>
          <w:szCs w:val="32"/>
          <w:lang w:eastAsia="zh-CN"/>
        </w:rPr>
        <w:t>，</w:t>
      </w:r>
      <w:r>
        <w:rPr>
          <w:rFonts w:hint="eastAsia" w:ascii="仿宋_GB2312" w:hAnsi="微软雅黑" w:eastAsia="仿宋_GB2312" w:cs="仿宋_GB2312"/>
          <w:i w:val="0"/>
          <w:caps w:val="0"/>
          <w:color w:val="000000"/>
          <w:spacing w:val="0"/>
          <w:sz w:val="32"/>
          <w:szCs w:val="32"/>
          <w:shd w:val="clear" w:fill="FFFFFF"/>
        </w:rPr>
        <w:t>加强项目预算资金申报管理,申报的计划任务目标要明确细化,确保专项资金得到充分、及时利用</w:t>
      </w:r>
      <w:r>
        <w:rPr>
          <w:rFonts w:hint="eastAsia" w:hAnsi="微软雅黑" w:cs="仿宋_GB2312"/>
          <w:i w:val="0"/>
          <w:caps w:val="0"/>
          <w:color w:val="000000"/>
          <w:spacing w:val="0"/>
          <w:sz w:val="32"/>
          <w:szCs w:val="32"/>
          <w:shd w:val="clear" w:fill="FFFFFF"/>
          <w:lang w:eastAsia="zh-CN"/>
        </w:rPr>
        <w:t>。</w:t>
      </w:r>
    </w:p>
    <w:p>
      <w:pPr>
        <w:keepNext w:val="0"/>
        <w:keepLines w:val="0"/>
        <w:pageBreakBefore w:val="0"/>
        <w:kinsoku/>
        <w:wordWrap/>
        <w:overflowPunct/>
        <w:topLinePunct w:val="0"/>
        <w:autoSpaceDE/>
        <w:autoSpaceDN/>
        <w:bidi w:val="0"/>
        <w:adjustRightInd/>
        <w:snapToGrid/>
        <w:spacing w:line="600" w:lineRule="exact"/>
        <w:ind w:firstLine="600" w:firstLineChars="200"/>
        <w:jc w:val="both"/>
        <w:rPr>
          <w:rFonts w:hint="default" w:ascii="Times New Roman" w:hAnsi="Times New Roman" w:eastAsia="仿宋_GB2312" w:cs="Times New Roman"/>
          <w:sz w:val="30"/>
        </w:rPr>
      </w:pPr>
      <w:r>
        <w:rPr>
          <w:rFonts w:hint="default" w:ascii="Times New Roman" w:hAnsi="Times New Roman" w:eastAsia="黑体" w:cs="Times New Roman"/>
          <w:sz w:val="30"/>
        </w:rPr>
        <w:t>七、其它需要说明的情况</w:t>
      </w:r>
    </w:p>
    <w:p>
      <w:pPr>
        <w:keepNext w:val="0"/>
        <w:keepLines w:val="0"/>
        <w:pageBreakBefore w:val="0"/>
        <w:kinsoku/>
        <w:wordWrap/>
        <w:overflowPunct/>
        <w:topLinePunct w:val="0"/>
        <w:autoSpaceDE/>
        <w:autoSpaceDN/>
        <w:bidi w:val="0"/>
        <w:adjustRightInd/>
        <w:snapToGrid/>
        <w:spacing w:line="600" w:lineRule="exact"/>
        <w:ind w:firstLine="645"/>
        <w:jc w:val="both"/>
        <w:textAlignment w:val="auto"/>
        <w:outlineLvl w:val="9"/>
        <w:rPr>
          <w:rFonts w:hint="eastAsia" w:hAnsi="微软雅黑" w:cs="仿宋_GB2312"/>
          <w:i w:val="0"/>
          <w:caps w:val="0"/>
          <w:color w:val="000000"/>
          <w:spacing w:val="0"/>
          <w:sz w:val="32"/>
          <w:szCs w:val="32"/>
          <w:shd w:val="clear" w:fill="FFFFFF"/>
          <w:lang w:val="en-US" w:eastAsia="zh-CN"/>
        </w:rPr>
      </w:pPr>
      <w:r>
        <w:rPr>
          <w:rFonts w:hint="eastAsia" w:hAnsi="微软雅黑" w:cs="仿宋_GB2312"/>
          <w:i w:val="0"/>
          <w:caps w:val="0"/>
          <w:color w:val="000000"/>
          <w:spacing w:val="0"/>
          <w:sz w:val="32"/>
          <w:szCs w:val="32"/>
          <w:shd w:val="clear" w:fill="FFFFFF"/>
          <w:lang w:val="en-US" w:eastAsia="zh-CN"/>
        </w:rPr>
        <w:t>无。</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color w:val="000000"/>
          <w:sz w:val="32"/>
          <w:szCs w:val="32"/>
        </w:rPr>
      </w:pPr>
    </w:p>
    <w:p>
      <w:pPr>
        <w:pStyle w:val="2"/>
        <w:keepNext w:val="0"/>
        <w:keepLines w:val="0"/>
        <w:pageBreakBefore w:val="0"/>
        <w:widowControl/>
        <w:suppressLineNumbers w:val="0"/>
        <w:pBdr>
          <w:top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p>
    <w:p>
      <w:pPr>
        <w:keepNext w:val="0"/>
        <w:keepLines w:val="0"/>
        <w:pageBreakBefore w:val="0"/>
        <w:kinsoku/>
        <w:wordWrap/>
        <w:overflowPunct/>
        <w:topLinePunct w:val="0"/>
        <w:autoSpaceDE/>
        <w:autoSpaceDN/>
        <w:bidi w:val="0"/>
        <w:adjustRightInd/>
        <w:snapToGrid/>
        <w:spacing w:line="600" w:lineRule="exact"/>
        <w:ind w:firstLine="600" w:firstLineChars="200"/>
        <w:rPr>
          <w:rFonts w:hint="default" w:ascii="Times New Roman" w:hAnsi="Times New Roman" w:eastAsia="黑体" w:cs="Times New Roman"/>
          <w:sz w:val="30"/>
        </w:rPr>
      </w:pPr>
    </w:p>
    <w:p>
      <w:pPr>
        <w:keepNext w:val="0"/>
        <w:keepLines w:val="0"/>
        <w:pageBreakBefore w:val="0"/>
        <w:numPr>
          <w:ilvl w:val="0"/>
          <w:numId w:val="0"/>
        </w:numPr>
        <w:kinsoku/>
        <w:wordWrap/>
        <w:overflowPunct/>
        <w:topLinePunct w:val="0"/>
        <w:autoSpaceDE/>
        <w:autoSpaceDN/>
        <w:bidi w:val="0"/>
        <w:adjustRightInd/>
        <w:snapToGrid/>
        <w:spacing w:line="600" w:lineRule="exact"/>
        <w:rPr>
          <w:rFonts w:hint="default" w:ascii="Times New Roman" w:hAnsi="Times New Roman" w:eastAsia="黑体" w:cs="Times New Roman"/>
          <w:sz w:val="30"/>
        </w:rPr>
      </w:pPr>
    </w:p>
    <w:p>
      <w:pPr>
        <w:keepNext w:val="0"/>
        <w:keepLines w:val="0"/>
        <w:pageBreakBefore w:val="0"/>
        <w:kinsoku/>
        <w:wordWrap/>
        <w:overflowPunct/>
        <w:topLinePunct w:val="0"/>
        <w:autoSpaceDE/>
        <w:autoSpaceDN/>
        <w:bidi w:val="0"/>
        <w:adjustRightInd/>
        <w:snapToGrid/>
        <w:spacing w:line="60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
    <w:altName w:val="Times New Roman"/>
    <w:panose1 w:val="00000000000000000000"/>
    <w:charset w:val="00"/>
    <w:family w:val="roman"/>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DA6BF8"/>
    <w:rsid w:val="077937D9"/>
    <w:rsid w:val="07D64172"/>
    <w:rsid w:val="0ED02C14"/>
    <w:rsid w:val="105C2612"/>
    <w:rsid w:val="15785E79"/>
    <w:rsid w:val="1AB1074A"/>
    <w:rsid w:val="1B320368"/>
    <w:rsid w:val="1EEF4A1D"/>
    <w:rsid w:val="21AB7873"/>
    <w:rsid w:val="29AD6CF1"/>
    <w:rsid w:val="2AB93DFB"/>
    <w:rsid w:val="31C07FC0"/>
    <w:rsid w:val="328E63ED"/>
    <w:rsid w:val="382732DF"/>
    <w:rsid w:val="3A0D62F5"/>
    <w:rsid w:val="429D7863"/>
    <w:rsid w:val="44640065"/>
    <w:rsid w:val="4B565DD9"/>
    <w:rsid w:val="4BA140ED"/>
    <w:rsid w:val="574E10EF"/>
    <w:rsid w:val="58223D57"/>
    <w:rsid w:val="5AAF2CA8"/>
    <w:rsid w:val="625D3967"/>
    <w:rsid w:val="6CDA6BF8"/>
    <w:rsid w:val="700E1044"/>
    <w:rsid w:val="744A7479"/>
    <w:rsid w:val="74A43B8F"/>
    <w:rsid w:val="76CD722C"/>
    <w:rsid w:val="7D1A3A7C"/>
    <w:rsid w:val="7DEC53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Company>
  <Pages>1</Pages>
  <Words>0</Words>
  <Characters>0</Characters>
  <Lines>0</Lines>
  <Paragraphs>0</Paragraphs>
  <TotalTime>3</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2020-03-31T02:18:00Z</dcterms:created>
  <dc:creator>颜渊1420594036</dc:creator>
  <cp:lastModifiedBy>Administrator</cp:lastModifiedBy>
  <cp:lastPrinted>2020-04-03T02:37:00Z</cp:lastPrinted>
  <dcterms:modified xsi:type="dcterms:W3CDTF">2021-08-23T02:44:12Z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