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kern w:val="0"/>
        </w:rPr>
      </w:pPr>
      <w:r>
        <w:rPr>
          <w:rFonts w:hint="eastAsia" w:ascii="黑体" w:hAnsi="黑体" w:eastAsia="黑体" w:cs="黑体"/>
          <w:kern w:val="0"/>
        </w:rPr>
        <w:t>附件2</w:t>
      </w:r>
    </w:p>
    <w:p>
      <w:pPr>
        <w:spacing w:line="560" w:lineRule="exact"/>
        <w:jc w:val="center"/>
        <w:rPr>
          <w:rFonts w:eastAsia="方正小标宋简体"/>
          <w:kern w:val="0"/>
          <w:sz w:val="40"/>
          <w:szCs w:val="40"/>
        </w:rPr>
      </w:pPr>
      <w:r>
        <w:rPr>
          <w:rFonts w:hint="eastAsia" w:ascii="仿宋" w:hAnsi="仿宋" w:eastAsia="仿宋" w:cs="仿宋"/>
          <w:kern w:val="0"/>
          <w:sz w:val="40"/>
          <w:szCs w:val="40"/>
        </w:rPr>
        <w:t>2019</w:t>
      </w:r>
      <w:r>
        <w:rPr>
          <w:rFonts w:hint="eastAsia" w:eastAsia="方正小标宋简体"/>
          <w:kern w:val="0"/>
          <w:sz w:val="40"/>
          <w:szCs w:val="40"/>
        </w:rPr>
        <w:t>年度</w:t>
      </w:r>
      <w:r>
        <w:rPr>
          <w:rFonts w:eastAsia="方正小标宋简体"/>
          <w:kern w:val="0"/>
          <w:sz w:val="40"/>
          <w:szCs w:val="40"/>
        </w:rPr>
        <w:t>部门整体支出绩效</w:t>
      </w:r>
      <w:r>
        <w:rPr>
          <w:rFonts w:hint="eastAsia" w:eastAsia="方正小标宋简体"/>
          <w:kern w:val="0"/>
          <w:sz w:val="40"/>
          <w:szCs w:val="40"/>
        </w:rPr>
        <w:t>自</w:t>
      </w:r>
      <w:r>
        <w:rPr>
          <w:rFonts w:eastAsia="方正小标宋简体"/>
          <w:kern w:val="0"/>
          <w:sz w:val="40"/>
          <w:szCs w:val="40"/>
        </w:rPr>
        <w:t>评表</w:t>
      </w:r>
    </w:p>
    <w:tbl>
      <w:tblPr>
        <w:tblStyle w:val="6"/>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410"/>
        <w:gridCol w:w="90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望城区委统战部</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项目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003"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902"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r>
              <w:rPr>
                <w:rFonts w:asciiTheme="minorEastAsia" w:hAnsiTheme="minorEastAsia" w:eastAsiaTheme="minorEastAsia" w:cstheme="minorEastAsia"/>
                <w:color w:val="000000"/>
                <w:sz w:val="21"/>
                <w:szCs w:val="21"/>
              </w:rPr>
              <w:t>1073.53</w:t>
            </w:r>
          </w:p>
        </w:tc>
        <w:tc>
          <w:tcPr>
            <w:tcW w:w="2003"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815.25</w:t>
            </w:r>
          </w:p>
        </w:tc>
        <w:tc>
          <w:tcPr>
            <w:tcW w:w="902"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75.94%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1073.53</w:t>
            </w:r>
          </w:p>
        </w:tc>
        <w:tc>
          <w:tcPr>
            <w:tcW w:w="2003"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815.25</w:t>
            </w:r>
          </w:p>
        </w:tc>
        <w:tc>
          <w:tcPr>
            <w:tcW w:w="902"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75.94%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2003"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902"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r>
              <w:rPr>
                <w:rFonts w:asciiTheme="minorEastAsia" w:hAnsiTheme="minorEastAsia" w:eastAsiaTheme="minorEastAsia" w:cstheme="minorEastAsia"/>
                <w:color w:val="000000"/>
                <w:sz w:val="21"/>
                <w:szCs w:val="21"/>
              </w:rPr>
              <w:t>1073.53</w:t>
            </w:r>
          </w:p>
        </w:tc>
        <w:tc>
          <w:tcPr>
            <w:tcW w:w="2003"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815.25</w:t>
            </w:r>
          </w:p>
        </w:tc>
        <w:tc>
          <w:tcPr>
            <w:tcW w:w="902"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75.94%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393.53</w:t>
            </w:r>
          </w:p>
        </w:tc>
        <w:tc>
          <w:tcPr>
            <w:tcW w:w="2003"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430.57</w:t>
            </w:r>
          </w:p>
        </w:tc>
        <w:tc>
          <w:tcPr>
            <w:tcW w:w="902"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109.41%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680</w:t>
            </w:r>
          </w:p>
        </w:tc>
        <w:tc>
          <w:tcPr>
            <w:tcW w:w="2003"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375.71</w:t>
            </w:r>
          </w:p>
        </w:tc>
        <w:tc>
          <w:tcPr>
            <w:tcW w:w="902"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55.25%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250" w:lineRule="exact"/>
              <w:ind w:firstLine="270" w:firstLineChars="150"/>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1：贯彻党领导的多党合作和政治协商制度及对民主党派的方针、政策；落实中央关于发挥民主党派、无党派人士参政议政和民主监督作用的工作。</w:t>
            </w:r>
          </w:p>
          <w:p>
            <w:pPr>
              <w:spacing w:line="250" w:lineRule="exact"/>
              <w:ind w:firstLine="360" w:firstLineChars="200"/>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2：持续推进两岸交流合作，深化经济合作，扩大文化交流。支持海外侨胞、归侨侨眷关心和参与祖国现代化建设与和平统一大业。</w:t>
            </w:r>
          </w:p>
          <w:p>
            <w:pPr>
              <w:spacing w:line="250" w:lineRule="exact"/>
              <w:ind w:firstLine="360" w:firstLineChars="200"/>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3：促进各民族交往交流交融，依法加强对宗教事务的管理。</w:t>
            </w:r>
          </w:p>
        </w:tc>
        <w:tc>
          <w:tcPr>
            <w:tcW w:w="3983" w:type="dxa"/>
            <w:gridSpan w:val="6"/>
            <w:tcBorders>
              <w:tl2br w:val="nil"/>
              <w:tr2bl w:val="nil"/>
            </w:tcBorders>
            <w:tcMar>
              <w:top w:w="15" w:type="dxa"/>
              <w:left w:w="15" w:type="dxa"/>
              <w:bottom w:w="0" w:type="dxa"/>
              <w:right w:w="15" w:type="dxa"/>
            </w:tcMar>
            <w:vAlign w:val="center"/>
          </w:tcPr>
          <w:p>
            <w:pPr>
              <w:spacing w:line="250" w:lineRule="exact"/>
              <w:ind w:firstLine="360" w:firstLineChars="200"/>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1：联系各民主党派和无党派代表人士，及时通报情况，反映他们的意见和建议。</w:t>
            </w:r>
          </w:p>
          <w:p>
            <w:pPr>
              <w:spacing w:line="250" w:lineRule="exact"/>
              <w:ind w:firstLine="360" w:firstLineChars="200"/>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2：充分利用涉台教育基地加强涉台宣传教育，逐步建立和完善海外人才联系网络，进一步引导海外各方面高层次人才回国创新创业。</w:t>
            </w:r>
          </w:p>
          <w:p>
            <w:pPr>
              <w:spacing w:line="250" w:lineRule="exact"/>
              <w:ind w:firstLine="360" w:firstLineChars="200"/>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3：组织民族团结进步宣传教育活动各项活动，积极妥善处理涉及民族领域的热点难点问题。依法加强对宗教事务管理，维护好宗教界的合法权益。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spacing w:line="240" w:lineRule="auto"/>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366" w:type="dxa"/>
            <w:gridSpan w:val="3"/>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902"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366"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编制数：机构编制部门核定批复的部门（单位）的人员编制数。</w:t>
            </w:r>
          </w:p>
        </w:tc>
        <w:tc>
          <w:tcPr>
            <w:tcW w:w="902"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366"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902"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366"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902"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366"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902"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366"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楼堂馆所面积控制率=实际建设面积/批准建设面积×100% 。</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902"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366"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楼堂馆所投资预算控制率=实际投资金额/批准投资金额×100% 。</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902"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366"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公用经费控制率=（实际支出公用经费总额/预算安排公用经费总额）×100%。</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902"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366"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902"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366"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902"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6</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①有内部财务管理制度、会计核算制度等管理制度，2分；</w:t>
            </w:r>
          </w:p>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②有本部门厉行节约制度,2分；</w:t>
            </w:r>
          </w:p>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366"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902"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p>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以上情况每出现一例不符合要求的扣1分，扣完为止。</w:t>
            </w:r>
          </w:p>
        </w:tc>
        <w:tc>
          <w:tcPr>
            <w:tcW w:w="2366"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902"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366"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902"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根据履职情况，结合绩效目标和项目性质，对重点工作计划完成、产出质量、产出时效和有关成本控制情况评价，实现70%以上得4分，70%以下不得分。</w:t>
            </w:r>
          </w:p>
        </w:tc>
        <w:tc>
          <w:tcPr>
            <w:tcW w:w="2366"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902"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366" w:type="dxa"/>
            <w:gridSpan w:val="3"/>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p>
        </w:tc>
        <w:tc>
          <w:tcPr>
            <w:tcW w:w="902" w:type="dxa"/>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366" w:type="dxa"/>
            <w:gridSpan w:val="3"/>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902"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366"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902"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90%（含）以上计6分；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80%（含）-90%，计4分；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70%（含）-80%，计2分；</w:t>
            </w:r>
          </w:p>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低于70%计0分。</w:t>
            </w:r>
          </w:p>
        </w:tc>
        <w:tc>
          <w:tcPr>
            <w:tcW w:w="2366"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902"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end"/>
            </w:r>
          </w:p>
        </w:tc>
      </w:tr>
    </w:tbl>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spacing w:line="600" w:lineRule="exact"/>
        <w:jc w:val="center"/>
        <w:rPr>
          <w:rFonts w:ascii="黑体" w:hAnsi="黑体" w:eastAsia="黑体" w:cs="方正小标宋_GBK"/>
          <w:spacing w:val="-20"/>
          <w:sz w:val="44"/>
          <w:szCs w:val="44"/>
        </w:rPr>
      </w:pPr>
      <w:r>
        <w:rPr>
          <w:rFonts w:hint="eastAsia" w:ascii="黑体" w:hAnsi="黑体" w:eastAsia="黑体" w:cs="仿宋"/>
          <w:spacing w:val="-20"/>
          <w:sz w:val="44"/>
          <w:szCs w:val="44"/>
        </w:rPr>
        <w:t>2019</w:t>
      </w:r>
      <w:r>
        <w:rPr>
          <w:rFonts w:hint="eastAsia" w:ascii="黑体" w:hAnsi="黑体" w:eastAsia="黑体" w:cs="方正小标宋_GBK"/>
          <w:spacing w:val="-20"/>
          <w:sz w:val="44"/>
          <w:szCs w:val="44"/>
        </w:rPr>
        <w:t>年度</w:t>
      </w:r>
      <w:r>
        <w:rPr>
          <w:rFonts w:hint="eastAsia" w:ascii="黑体" w:hAnsi="黑体" w:eastAsia="黑体" w:cs="仿宋"/>
          <w:spacing w:val="-20"/>
          <w:sz w:val="44"/>
          <w:szCs w:val="44"/>
        </w:rPr>
        <w:t>望城区委统战部</w:t>
      </w:r>
      <w:r>
        <w:rPr>
          <w:rFonts w:hint="eastAsia" w:ascii="黑体" w:hAnsi="黑体" w:eastAsia="黑体" w:cs="方正小标宋_GBK"/>
          <w:spacing w:val="-20"/>
          <w:sz w:val="44"/>
          <w:szCs w:val="44"/>
        </w:rPr>
        <w:t>部门整体支出预算绩效</w:t>
      </w:r>
    </w:p>
    <w:p>
      <w:pPr>
        <w:spacing w:line="600" w:lineRule="exact"/>
        <w:jc w:val="center"/>
        <w:rPr>
          <w:rFonts w:ascii="黑体" w:hAnsi="黑体" w:eastAsia="黑体"/>
          <w:sz w:val="44"/>
          <w:szCs w:val="44"/>
        </w:rPr>
      </w:pPr>
      <w:r>
        <w:rPr>
          <w:rFonts w:ascii="黑体" w:hAnsi="黑体" w:eastAsia="黑体"/>
          <w:sz w:val="44"/>
          <w:szCs w:val="44"/>
        </w:rPr>
        <w:t>自评报告</w:t>
      </w:r>
    </w:p>
    <w:p>
      <w:pPr>
        <w:spacing w:line="600" w:lineRule="exact"/>
        <w:jc w:val="center"/>
        <w:rPr>
          <w:rFonts w:ascii="Times New Roman" w:hAnsi="Times New Roman"/>
        </w:rPr>
      </w:pPr>
    </w:p>
    <w:p>
      <w:pPr>
        <w:spacing w:line="600" w:lineRule="exact"/>
        <w:ind w:firstLine="600" w:firstLineChars="200"/>
        <w:rPr>
          <w:rFonts w:ascii="Times New Roman" w:hAnsi="Times New Roman" w:eastAsia="黑体"/>
          <w:sz w:val="30"/>
        </w:rPr>
      </w:pPr>
      <w:r>
        <w:rPr>
          <w:rFonts w:ascii="Times New Roman" w:hAnsi="Times New Roman" w:eastAsia="黑体"/>
          <w:sz w:val="30"/>
        </w:rPr>
        <w:t>一、基本情况</w:t>
      </w:r>
    </w:p>
    <w:p>
      <w:pPr>
        <w:spacing w:line="600" w:lineRule="exact"/>
        <w:ind w:firstLine="640" w:firstLineChars="200"/>
        <w:rPr>
          <w:rFonts w:ascii="Times New Roman" w:hAnsi="Times New Roman" w:eastAsia="黑体"/>
          <w:sz w:val="30"/>
        </w:rPr>
      </w:pPr>
      <w:r>
        <w:rPr>
          <w:rFonts w:hint="eastAsia"/>
        </w:rPr>
        <w:t>长沙市</w:t>
      </w:r>
      <w:r>
        <w:rPr>
          <w:rFonts w:hint="eastAsia" w:hAnsi="Arial" w:cs="Arial"/>
        </w:rPr>
        <w:t>望城区委统战部是全额拨款的行政单位，内设办公室、党外人士联络办公室、新的社会阶层代表人士联络办公室，加挂区民族宗教事务局牌子，对外使用区政府侨务办公室的名称，归口管理区归侨侨眷联合会。区委统战部（区民宗局）机关行政编制9名、机关后勤全额拨款事业编制2名、二级机构区统战事务服务中心全额拨款事业编制3名，区归侨侨眷联合会机关事业编制3名。在职人数17人，其中：行政编制10人，事业编制3名，政府雇员2人，临聘人员2人。退休人员9人，遗属人员4人。</w:t>
      </w:r>
    </w:p>
    <w:p>
      <w:pPr>
        <w:spacing w:line="600" w:lineRule="exact"/>
        <w:ind w:firstLine="600" w:firstLineChars="200"/>
        <w:rPr>
          <w:rFonts w:ascii="Times New Roman" w:hAnsi="Times New Roman" w:eastAsia="黑体"/>
          <w:sz w:val="30"/>
        </w:rPr>
      </w:pPr>
      <w:r>
        <w:rPr>
          <w:rFonts w:ascii="Times New Roman" w:hAnsi="Times New Roman" w:eastAsia="黑体"/>
          <w:sz w:val="30"/>
        </w:rPr>
        <w:t>二、预算管理及执行情况</w:t>
      </w:r>
    </w:p>
    <w:p>
      <w:pPr>
        <w:widowControl/>
        <w:spacing w:line="560" w:lineRule="exact"/>
        <w:ind w:firstLine="627" w:firstLineChars="196"/>
      </w:pPr>
      <w:r>
        <w:rPr>
          <w:rFonts w:hint="eastAsia" w:hAnsi="仿宋"/>
        </w:rPr>
        <w:t>2019年财政拨款收入年初预算数为1073.53万元，年度执行中调整支出数为815.25万元，</w:t>
      </w:r>
      <w:r>
        <w:rPr>
          <w:rFonts w:hint="eastAsia"/>
        </w:rPr>
        <w:t>其中：</w:t>
      </w:r>
    </w:p>
    <w:p>
      <w:pPr>
        <w:widowControl/>
        <w:spacing w:line="560" w:lineRule="exact"/>
        <w:ind w:firstLine="627" w:firstLineChars="196"/>
      </w:pPr>
      <w:r>
        <w:rPr>
          <w:rFonts w:hint="eastAsia" w:hAnsi="仿宋"/>
        </w:rPr>
        <w:t>（1）</w:t>
      </w:r>
      <w:r>
        <w:rPr>
          <w:rFonts w:hint="eastAsia"/>
        </w:rPr>
        <w:t>基本支出：2019年决算数为439.55万元，是指为保障单位机构运转、完成日常工作任务而发生的各项支出，包括基本工资、津贴补贴等人员经费以及办公费、印刷费、水电费、办公设备购置等日常公用经费。</w:t>
      </w:r>
    </w:p>
    <w:p>
      <w:pPr>
        <w:spacing w:line="600" w:lineRule="exact"/>
        <w:ind w:firstLine="642"/>
        <w:rPr>
          <w:rFonts w:hAnsi="仿宋"/>
        </w:rPr>
      </w:pPr>
      <w:r>
        <w:rPr>
          <w:rFonts w:hint="eastAsia" w:hAnsi="仿宋"/>
        </w:rPr>
        <w:t>（2）</w:t>
      </w:r>
      <w:r>
        <w:rPr>
          <w:rFonts w:hint="eastAsia"/>
        </w:rPr>
        <w:t>项目支出：2019年决算数</w:t>
      </w:r>
      <w:r>
        <w:rPr>
          <w:rFonts w:hint="eastAsia"/>
          <w:sz w:val="30"/>
          <w:szCs w:val="30"/>
        </w:rPr>
        <w:t>为375.71万元，是指单位为完成特定行政工作而发生的支出，其中：民族事务专项0.36万元，主要用于2019年宗教教职人员省级困难补助；宗教事务专项188万元，主要用于宗教活动场所规范化管理及维修；统战事务专项171.35万元，主要用于联系海外有关社团及代表人士，各民主党派的办公和考察调研、教育培训，统战日常宣传教育，党外代表人士队伍建设，“同心创建”示范点工作补助、依法加强对民族宗教事务的管理及各类统战重大活动等方面；其他统战事务专项10万元，主要用于2018年度市级“同心创建”以奖代补资金；其他农村生活救助费用专项主要用于困难统战成员的慰问。</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三、资产管理情况</w:t>
      </w:r>
    </w:p>
    <w:p>
      <w:pPr>
        <w:spacing w:line="600" w:lineRule="exact"/>
        <w:ind w:firstLine="640" w:firstLineChars="200"/>
        <w:rPr>
          <w:rFonts w:ascii="Times New Roman" w:hAnsi="Times New Roman" w:eastAsia="黑体"/>
          <w:sz w:val="30"/>
        </w:rPr>
      </w:pPr>
      <w:r>
        <w:rPr>
          <w:rFonts w:hint="eastAsia"/>
        </w:rPr>
        <w:t>国有资产占用情况。截至2019年12月31日，本部门共有车辆0辆，单位价值50万元以上通用设备0台（套），单价100万元以上专用设备0台（套）。</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四</w:t>
      </w:r>
      <w:r>
        <w:rPr>
          <w:rFonts w:ascii="Times New Roman" w:hAnsi="Times New Roman" w:eastAsia="黑体"/>
          <w:sz w:val="30"/>
        </w:rPr>
        <w:t>、整体支出绩效目标及开展情况</w:t>
      </w:r>
    </w:p>
    <w:p>
      <w:pPr>
        <w:snapToGrid w:val="0"/>
        <w:spacing w:line="520" w:lineRule="exact"/>
        <w:ind w:firstLine="640" w:firstLineChars="200"/>
        <w:rPr>
          <w:rFonts w:hAnsi="仿宋"/>
        </w:rPr>
      </w:pPr>
      <w:r>
        <w:rPr>
          <w:rFonts w:hint="eastAsia" w:hAnsi="仿宋"/>
        </w:rPr>
        <w:t>1、探索民营经济服务发展新路径。牵头成立望城商事服务中心（望城BSC），组建望城区工匠联合体，畅通了“望城区产业工人供需渠道；推进“四零”采购平台建设；设专项资金300万，实施望城区商协会建设改革三年行动计划（2019-2021年）；深化服务民营经济“六个一”营商机制，组织全区非公经济人士代表座谈会，区委书记孔玉成与50家非公企业代表面对面交流座谈，听取优化营商环境工作意见建议；推进“猎梦计划”和“联合课堂”，进一步健全地方企业家培训体系，举办“优化营商环境，精准服务企业”部门问答直线通等5期活动，累计近210名青年企业家参与学习培训、交流分享。</w:t>
      </w:r>
    </w:p>
    <w:p>
      <w:pPr>
        <w:snapToGrid w:val="0"/>
        <w:spacing w:line="520" w:lineRule="exact"/>
        <w:ind w:firstLine="640" w:firstLineChars="200"/>
        <w:rPr>
          <w:rFonts w:hAnsi="仿宋"/>
        </w:rPr>
      </w:pPr>
      <w:r>
        <w:rPr>
          <w:rFonts w:hint="eastAsia" w:hAnsi="仿宋"/>
        </w:rPr>
        <w:t>2、聚焦党外代表人士队伍建设新优势。出台了《重大事项向党外人士通报、征求意见制度》，实行地方党委党代会精神向党外代表人士通报制度，全年先后召开5次会议，通报情况，征求意见；联合区委组织部出台《望城区进一步加强党外干部培训选拔工作的意见》“15条”；深化区委常委、党员副区长与党外代表人士联谊交友制度，将新的社会阶层高级研发人员纳入联谊交友范围；举办统战干部统战人士主体培训班，集中培训380余人；在13个村、社区推动同心美丽乡村、同心社区创建活动，茶亭镇静慎村被推荐为全省同心美丽乡村，中南社区、盘龙岭村被评为市同心创建村（社区）。</w:t>
      </w:r>
    </w:p>
    <w:p>
      <w:pPr>
        <w:snapToGrid w:val="0"/>
        <w:spacing w:line="520" w:lineRule="exact"/>
        <w:ind w:firstLine="640" w:firstLineChars="200"/>
        <w:rPr>
          <w:rFonts w:hAnsi="仿宋"/>
        </w:rPr>
      </w:pPr>
      <w:r>
        <w:rPr>
          <w:rFonts w:hint="eastAsia" w:hAnsi="仿宋"/>
        </w:rPr>
        <w:t>3、实现新的社会阶层人士统战工作新跨越。联合区经信局、人社局和街镇等开展新的社会阶层代表人士陶艺培训班和茶器制作技能大赛；在市、区平台对10余名望城区新的社会阶层代表人士进行宣传推介；成立望城区新的社会阶层人士联合会（简称“望新社”），明确77名会员，选举产生第一届理事会，以陶艺创客中心和黄金创业园为抓手，打造并挂牌新的社会阶层实践创新基地。</w:t>
      </w:r>
    </w:p>
    <w:p>
      <w:pPr>
        <w:snapToGrid w:val="0"/>
        <w:spacing w:line="520" w:lineRule="exact"/>
        <w:ind w:firstLine="640" w:firstLineChars="200"/>
        <w:rPr>
          <w:rFonts w:hAnsi="仿宋"/>
        </w:rPr>
      </w:pPr>
      <w:r>
        <w:rPr>
          <w:rFonts w:hint="eastAsia" w:hAnsi="仿宋"/>
        </w:rPr>
        <w:t>4、推动民族宗教规范管理新发展。指导少数民族服务站开展民族团结进步创建活动，望城一中获评全省“民族团结进步教育示范基地”，中南社区被评为全市“民族团结进步创建活动示范社区”；选举新一届道协理事会；做好宗教领域巡视整改相关工作，依法管理基督教私设聚会点；分别举办全区宗教教职人员和驻区高校民族宗教工作专题培训，加强高校抵御宗教渗透意识和能力；联合区教育局、区国保大队及街镇、村（社区）对区内高校调研，建立高校与地方的联系会商机制,共同抵御宗教向高校渗透；深入挖掘宗教场所“四美创建”文化内涵，在《中国宗教》刊发经验文章；引导洗心禅寺举行第六届“善拍”，开展“万名学子助学计划”，782名寒门学子获洗心基金会助学金312.8万。</w:t>
      </w:r>
    </w:p>
    <w:p>
      <w:pPr>
        <w:snapToGrid w:val="0"/>
        <w:spacing w:line="520" w:lineRule="exact"/>
        <w:ind w:firstLine="640" w:firstLineChars="200"/>
        <w:rPr>
          <w:rFonts w:hAnsi="仿宋"/>
        </w:rPr>
      </w:pPr>
      <w:r>
        <w:rPr>
          <w:rFonts w:hint="eastAsia" w:hAnsi="仿宋"/>
        </w:rPr>
        <w:t>5、强化统一战线宣传引领新载体。强化社会扶贫人物宣传，释悟圣获评2019年省“百名最美扶贫人物”；在全市“70年70人</w:t>
      </w:r>
      <w:r>
        <w:rPr>
          <w:rFonts w:hint="eastAsia" w:ascii="宋体" w:hAnsi="宋体" w:cs="宋体"/>
        </w:rPr>
        <w:t>•</w:t>
      </w:r>
      <w:r>
        <w:rPr>
          <w:rFonts w:hint="eastAsia" w:hAnsi="仿宋_GB2312" w:cs="仿宋_GB2312"/>
        </w:rPr>
        <w:t>同心耀星城”和党外知识分子主题报告活动中，我区戴智勇等</w:t>
      </w:r>
      <w:r>
        <w:rPr>
          <w:rFonts w:hint="eastAsia" w:hAnsi="仿宋"/>
        </w:rPr>
        <w:t>7名党外代表人士成功入选并宣传；开展16期《统一战线</w:t>
      </w:r>
      <w:r>
        <w:rPr>
          <w:rFonts w:hint="eastAsia" w:ascii="宋体" w:hAnsi="宋体" w:cs="宋体"/>
        </w:rPr>
        <w:t>•</w:t>
      </w:r>
      <w:r>
        <w:rPr>
          <w:rFonts w:hint="eastAsia" w:hAnsi="仿宋_GB2312" w:cs="仿宋_GB2312"/>
        </w:rPr>
        <w:t>人物志》集中宣传；推介了</w:t>
      </w:r>
      <w:r>
        <w:rPr>
          <w:rFonts w:hint="eastAsia" w:hAnsi="仿宋"/>
        </w:rPr>
        <w:t>5名非公经济领域和商协会党组织书记抓统战工作经验做法。</w:t>
      </w:r>
    </w:p>
    <w:p>
      <w:pPr>
        <w:spacing w:line="600" w:lineRule="exact"/>
        <w:ind w:firstLine="640" w:firstLineChars="200"/>
        <w:rPr>
          <w:rFonts w:ascii="Times New Roman" w:hAnsi="Times New Roman" w:eastAsia="黑体"/>
          <w:sz w:val="30"/>
        </w:rPr>
      </w:pPr>
      <w:r>
        <w:rPr>
          <w:rFonts w:hint="eastAsia" w:hAnsi="仿宋"/>
        </w:rPr>
        <w:t>6、实现社会扶贫“千金计划”新作为。开展了“平安到家”“助残圆梦”“希望相伴”等3期社会扶贫“千金计划”纪行活动，赠送1758个爱心安全书包（价值34.8万元），向全区贫困残疾人征集并回应了100个“微心愿”，面向8个省级贫困村学校建档立卡贫困学生发放2万瓶早餐奶。</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五</w:t>
      </w:r>
      <w:r>
        <w:rPr>
          <w:rFonts w:ascii="Times New Roman" w:hAnsi="Times New Roman" w:eastAsia="黑体"/>
          <w:sz w:val="30"/>
        </w:rPr>
        <w:t>、部门整体支出绩效中存在问题及改进措施</w:t>
      </w:r>
    </w:p>
    <w:p>
      <w:pPr>
        <w:spacing w:line="600" w:lineRule="exact"/>
        <w:ind w:firstLine="640" w:firstLineChars="200"/>
        <w:rPr>
          <w:rFonts w:ascii="Times New Roman" w:hAnsi="Times New Roman"/>
          <w:sz w:val="30"/>
        </w:rPr>
      </w:pPr>
      <w:r>
        <w:rPr>
          <w:rFonts w:hint="eastAsia"/>
        </w:rPr>
        <w:t>项目实施过程中还存在绩效目标不够细化、量化，专项资金管理制度不够完善等问题。今后，我单位将进一步完善专项资金管理制度建设，强化预算绩效目标申报和审核，做到绩效目标科学合理，细化量化，提高财政资金使用效益。</w:t>
      </w:r>
    </w:p>
    <w:p>
      <w:pPr>
        <w:adjustRightInd w:val="0"/>
        <w:snapToGrid w:val="0"/>
        <w:spacing w:line="600" w:lineRule="exact"/>
        <w:jc w:val="left"/>
        <w:rPr>
          <w:rFonts w:ascii="Times New Roman" w:hAnsi="Times New Roman" w:eastAsia="方正小标宋简体"/>
          <w:bCs/>
          <w:color w:val="000000"/>
          <w:kern w:val="0"/>
          <w:sz w:val="36"/>
          <w:szCs w:val="36"/>
        </w:rPr>
      </w:pPr>
    </w:p>
    <w:p>
      <w:pPr>
        <w:adjustRightInd w:val="0"/>
        <w:snapToGrid w:val="0"/>
        <w:spacing w:line="600" w:lineRule="exact"/>
        <w:jc w:val="left"/>
        <w:rPr>
          <w:rFonts w:ascii="Times New Roman" w:hAnsi="Times New Roman" w:eastAsia="方正小标宋简体"/>
          <w:bCs/>
          <w:color w:val="000000"/>
          <w:kern w:val="0"/>
          <w:sz w:val="36"/>
          <w:szCs w:val="36"/>
        </w:rPr>
      </w:pPr>
    </w:p>
    <w:p>
      <w:pPr>
        <w:adjustRightInd w:val="0"/>
        <w:snapToGrid w:val="0"/>
        <w:spacing w:line="600" w:lineRule="exact"/>
        <w:jc w:val="left"/>
        <w:rPr>
          <w:rFonts w:ascii="Times New Roman" w:hAnsi="Times New Roman" w:eastAsia="方正小标宋简体"/>
          <w:bCs/>
          <w:color w:val="000000"/>
          <w:kern w:val="0"/>
          <w:sz w:val="36"/>
          <w:szCs w:val="36"/>
        </w:rPr>
      </w:pPr>
    </w:p>
    <w:p>
      <w:pPr>
        <w:widowControl/>
        <w:spacing w:line="240" w:lineRule="auto"/>
        <w:jc w:val="left"/>
        <w:rPr>
          <w:rFonts w:ascii="Times New Roman" w:hAnsi="Times New Roman" w:eastAsia="方正小标宋简体"/>
          <w:bCs/>
          <w:color w:val="000000"/>
          <w:kern w:val="0"/>
          <w:sz w:val="36"/>
          <w:szCs w:val="36"/>
        </w:rPr>
      </w:pPr>
      <w:r>
        <w:rPr>
          <w:rFonts w:ascii="Times New Roman" w:hAnsi="Times New Roman" w:eastAsia="方正小标宋简体"/>
          <w:bCs/>
          <w:color w:val="000000"/>
          <w:kern w:val="0"/>
          <w:sz w:val="36"/>
          <w:szCs w:val="36"/>
        </w:rPr>
        <w:br w:type="page"/>
      </w:r>
    </w:p>
    <w:p>
      <w:pPr>
        <w:spacing w:line="620" w:lineRule="exact"/>
        <w:rPr>
          <w:rFonts w:ascii="黑体" w:hAnsi="黑体" w:eastAsia="黑体" w:cs="黑体"/>
          <w:kern w:val="0"/>
        </w:rPr>
      </w:pPr>
      <w:r>
        <w:rPr>
          <w:rFonts w:hint="eastAsia" w:ascii="黑体" w:hAnsi="黑体" w:eastAsia="黑体" w:cs="黑体"/>
          <w:kern w:val="0"/>
        </w:rPr>
        <w:t>附件4</w:t>
      </w:r>
    </w:p>
    <w:tbl>
      <w:tblPr>
        <w:tblStyle w:val="6"/>
        <w:tblW w:w="9080" w:type="dxa"/>
        <w:jc w:val="center"/>
        <w:tblLayout w:type="fixed"/>
        <w:tblCellMar>
          <w:top w:w="0" w:type="dxa"/>
          <w:left w:w="108" w:type="dxa"/>
          <w:bottom w:w="0" w:type="dxa"/>
          <w:right w:w="108" w:type="dxa"/>
        </w:tblCellMar>
      </w:tblPr>
      <w:tblGrid>
        <w:gridCol w:w="588"/>
        <w:gridCol w:w="980"/>
        <w:gridCol w:w="1112"/>
        <w:gridCol w:w="730"/>
        <w:gridCol w:w="1134"/>
        <w:gridCol w:w="284"/>
        <w:gridCol w:w="850"/>
        <w:gridCol w:w="851"/>
        <w:gridCol w:w="283"/>
        <w:gridCol w:w="284"/>
        <w:gridCol w:w="425"/>
        <w:gridCol w:w="142"/>
        <w:gridCol w:w="709"/>
        <w:gridCol w:w="708"/>
      </w:tblGrid>
      <w:tr>
        <w:tblPrEx>
          <w:tblCellMar>
            <w:top w:w="0" w:type="dxa"/>
            <w:left w:w="108" w:type="dxa"/>
            <w:bottom w:w="0" w:type="dxa"/>
            <w:right w:w="108" w:type="dxa"/>
          </w:tblCellMar>
        </w:tblPrEx>
        <w:trPr>
          <w:trHeight w:val="771" w:hRule="exact"/>
          <w:jc w:val="center"/>
        </w:trPr>
        <w:tc>
          <w:tcPr>
            <w:tcW w:w="9080" w:type="dxa"/>
            <w:gridSpan w:val="14"/>
            <w:tcBorders>
              <w:top w:val="nil"/>
              <w:left w:val="nil"/>
              <w:bottom w:val="nil"/>
              <w:right w:val="nil"/>
            </w:tcBorders>
            <w:vAlign w:val="center"/>
          </w:tcPr>
          <w:p>
            <w:pPr>
              <w:widowControl/>
              <w:spacing w:line="240" w:lineRule="auto"/>
              <w:jc w:val="center"/>
              <w:rPr>
                <w:rFonts w:ascii="宋体" w:hAnsi="宋体" w:eastAsia="宋体" w:cs="宋体"/>
                <w:b/>
                <w:bCs/>
                <w:kern w:val="0"/>
              </w:rPr>
            </w:pPr>
            <w:r>
              <w:rPr>
                <w:rFonts w:hint="eastAsia" w:ascii="仿宋" w:hAnsi="仿宋" w:eastAsia="仿宋" w:cs="仿宋"/>
                <w:kern w:val="0"/>
                <w:sz w:val="36"/>
                <w:szCs w:val="36"/>
              </w:rPr>
              <w:t>2019</w:t>
            </w:r>
            <w:r>
              <w:rPr>
                <w:rFonts w:hint="eastAsia" w:ascii="方正小标宋_GBK" w:hAnsi="方正小标宋_GBK" w:eastAsia="方正小标宋_GBK" w:cs="方正小标宋_GBK"/>
                <w:kern w:val="0"/>
                <w:sz w:val="36"/>
                <w:szCs w:val="36"/>
              </w:rPr>
              <w:t>年度专项资金绩效评价自评表</w:t>
            </w:r>
          </w:p>
        </w:tc>
      </w:tr>
      <w:tr>
        <w:tblPrEx>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项目名称</w:t>
            </w:r>
          </w:p>
        </w:tc>
        <w:tc>
          <w:tcPr>
            <w:tcW w:w="7512" w:type="dxa"/>
            <w:gridSpan w:val="1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统战事务专项</w:t>
            </w:r>
          </w:p>
        </w:tc>
      </w:tr>
      <w:tr>
        <w:tblPrEx>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主管部门</w:t>
            </w:r>
          </w:p>
        </w:tc>
        <w:tc>
          <w:tcPr>
            <w:tcW w:w="4110"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望城区委统战部</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实施单位</w:t>
            </w:r>
          </w:p>
        </w:tc>
        <w:tc>
          <w:tcPr>
            <w:tcW w:w="2268"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望城区委统战部</w:t>
            </w:r>
          </w:p>
        </w:tc>
      </w:tr>
      <w:tr>
        <w:tblPrEx>
          <w:tblCellMar>
            <w:top w:w="0" w:type="dxa"/>
            <w:left w:w="108" w:type="dxa"/>
            <w:bottom w:w="0" w:type="dxa"/>
            <w:right w:w="108" w:type="dxa"/>
          </w:tblCellMar>
        </w:tblPrEx>
        <w:trPr>
          <w:trHeight w:val="300" w:hRule="exact"/>
          <w:jc w:val="center"/>
        </w:trPr>
        <w:tc>
          <w:tcPr>
            <w:tcW w:w="156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项目资金</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（万元）</w:t>
            </w: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年初预算数</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全年预算数</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全年执行数</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执行率</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得分</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rPr>
                <w:rFonts w:ascii="宋体" w:hAnsi="宋体" w:eastAsia="宋体" w:cs="宋体"/>
                <w:kern w:val="0"/>
                <w:sz w:val="18"/>
                <w:szCs w:val="18"/>
              </w:rPr>
            </w:pPr>
            <w:r>
              <w:rPr>
                <w:rFonts w:hint="eastAsia" w:ascii="宋体" w:hAnsi="宋体" w:eastAsia="宋体" w:cs="宋体"/>
                <w:kern w:val="0"/>
                <w:sz w:val="18"/>
                <w:szCs w:val="18"/>
              </w:rPr>
              <w:t>年度资金总额</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350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350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350</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其中：当年财政拨款</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350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350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350</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xml:space="preserve">      上年结转资金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xml:space="preserve">  其他资金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58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年度总体目标</w:t>
            </w:r>
          </w:p>
        </w:tc>
        <w:tc>
          <w:tcPr>
            <w:tcW w:w="5090"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预期目标</w:t>
            </w:r>
          </w:p>
        </w:tc>
        <w:tc>
          <w:tcPr>
            <w:tcW w:w="3402"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实际完成情况</w:t>
            </w:r>
          </w:p>
        </w:tc>
      </w:tr>
      <w:tr>
        <w:tblPrEx>
          <w:tblCellMar>
            <w:top w:w="0" w:type="dxa"/>
            <w:left w:w="108" w:type="dxa"/>
            <w:bottom w:w="0" w:type="dxa"/>
            <w:right w:w="108" w:type="dxa"/>
          </w:tblCellMar>
        </w:tblPrEx>
        <w:trPr>
          <w:trHeight w:val="1330" w:hRule="exact"/>
          <w:jc w:val="center"/>
        </w:trPr>
        <w:tc>
          <w:tcPr>
            <w:tcW w:w="58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090" w:type="dxa"/>
            <w:gridSpan w:val="6"/>
            <w:tcBorders>
              <w:top w:val="single" w:color="auto" w:sz="4" w:space="0"/>
              <w:left w:val="nil"/>
              <w:bottom w:val="single" w:color="auto" w:sz="4" w:space="0"/>
              <w:right w:val="single" w:color="auto" w:sz="4" w:space="0"/>
            </w:tcBorders>
            <w:vAlign w:val="center"/>
          </w:tcPr>
          <w:p>
            <w:pPr>
              <w:widowControl/>
              <w:spacing w:line="240" w:lineRule="exact"/>
              <w:ind w:firstLine="360" w:firstLineChars="200"/>
              <w:rPr>
                <w:rFonts w:ascii="宋体" w:hAnsi="宋体" w:eastAsia="宋体" w:cs="宋体"/>
                <w:kern w:val="0"/>
                <w:sz w:val="18"/>
                <w:szCs w:val="18"/>
              </w:rPr>
            </w:pPr>
            <w:r>
              <w:rPr>
                <w:rFonts w:hint="eastAsia" w:ascii="Times New Roman" w:hAnsi="Times New Roman" w:eastAsia="宋体"/>
                <w:kern w:val="0"/>
                <w:sz w:val="18"/>
                <w:szCs w:val="18"/>
              </w:rPr>
              <w:t>持续推进两岸交流合作，深化经济合作，扩大文化交流。支持海外侨胞、归侨侨眷关心和参与祖国现代化建设与和平统一大业。积极妥善处理涉及民族领域的热点难点问题，保持民族团结稳定的局面。加强对宗教事务依法管理，维护好宗教界的合法权益，确保宗教领域和谐稳定。</w:t>
            </w:r>
          </w:p>
        </w:tc>
        <w:tc>
          <w:tcPr>
            <w:tcW w:w="3402" w:type="dxa"/>
            <w:gridSpan w:val="7"/>
            <w:tcBorders>
              <w:top w:val="single" w:color="auto" w:sz="4" w:space="0"/>
              <w:left w:val="nil"/>
              <w:bottom w:val="single" w:color="auto" w:sz="4" w:space="0"/>
              <w:right w:val="single" w:color="auto" w:sz="4" w:space="0"/>
            </w:tcBorders>
            <w:vAlign w:val="center"/>
          </w:tcPr>
          <w:p>
            <w:pPr>
              <w:widowControl/>
              <w:spacing w:line="240" w:lineRule="exact"/>
              <w:ind w:firstLine="360" w:firstLineChars="200"/>
              <w:rPr>
                <w:rFonts w:ascii="宋体" w:hAnsi="宋体" w:eastAsia="宋体" w:cs="宋体"/>
                <w:kern w:val="0"/>
                <w:sz w:val="18"/>
                <w:szCs w:val="18"/>
              </w:rPr>
            </w:pPr>
            <w:r>
              <w:rPr>
                <w:rFonts w:hint="eastAsia" w:ascii="宋体" w:hAnsi="宋体" w:eastAsia="宋体" w:cs="宋体"/>
                <w:kern w:val="0"/>
                <w:sz w:val="18"/>
                <w:szCs w:val="18"/>
              </w:rPr>
              <w:t>按照年初制定的工作计划，较好地完了全年工作目标。</w:t>
            </w:r>
          </w:p>
        </w:tc>
      </w:tr>
      <w:tr>
        <w:tblPrEx>
          <w:tblCellMar>
            <w:top w:w="0" w:type="dxa"/>
            <w:left w:w="108" w:type="dxa"/>
            <w:bottom w:w="0" w:type="dxa"/>
            <w:right w:w="108" w:type="dxa"/>
          </w:tblCellMar>
        </w:tblPrEx>
        <w:trPr>
          <w:trHeight w:val="533" w:hRule="exact"/>
          <w:jc w:val="center"/>
        </w:trPr>
        <w:tc>
          <w:tcPr>
            <w:tcW w:w="588" w:type="dxa"/>
            <w:vMerge w:val="restart"/>
            <w:tcBorders>
              <w:top w:val="nil"/>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绩</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效</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指</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标</w:t>
            </w:r>
          </w:p>
        </w:tc>
        <w:tc>
          <w:tcPr>
            <w:tcW w:w="98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一级指标</w:t>
            </w:r>
          </w:p>
        </w:tc>
        <w:tc>
          <w:tcPr>
            <w:tcW w:w="1112"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二级指标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三级指标</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年度</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指标值</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实际</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完成值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得分</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偏差原因分析及改进措施</w:t>
            </w:r>
          </w:p>
        </w:tc>
      </w:tr>
      <w:tr>
        <w:tblPrEx>
          <w:tblCellMar>
            <w:top w:w="0" w:type="dxa"/>
            <w:left w:w="108" w:type="dxa"/>
            <w:bottom w:w="0" w:type="dxa"/>
            <w:right w:w="108" w:type="dxa"/>
          </w:tblCellMar>
        </w:tblPrEx>
        <w:trPr>
          <w:trHeight w:val="609"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产出指标</w:t>
            </w:r>
          </w:p>
        </w:tc>
        <w:tc>
          <w:tcPr>
            <w:tcW w:w="1112" w:type="dxa"/>
            <w:vMerge w:val="restart"/>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ascii="Times New Roman" w:hAnsi="Times New Roman" w:eastAsia="宋体"/>
                <w:kern w:val="0"/>
                <w:sz w:val="18"/>
                <w:szCs w:val="18"/>
              </w:rPr>
            </w:pPr>
            <w:r>
              <w:rPr>
                <w:rFonts w:ascii="Times New Roman" w:hAnsi="Times New Roman" w:eastAsia="宋体"/>
                <w:kern w:val="0"/>
                <w:sz w:val="18"/>
                <w:szCs w:val="18"/>
              </w:rPr>
              <w:t>1.</w:t>
            </w:r>
            <w:r>
              <w:rPr>
                <w:rFonts w:hint="eastAsia" w:ascii="Times New Roman" w:hAnsi="Times New Roman" w:eastAsia="宋体"/>
                <w:kern w:val="0"/>
                <w:sz w:val="18"/>
                <w:szCs w:val="18"/>
              </w:rPr>
              <w:t>支持民族宗教团体加强自身建设</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5</w:t>
            </w:r>
            <w:r>
              <w:rPr>
                <w:rFonts w:hint="eastAsia" w:ascii="Times New Roman" w:hAnsi="Times New Roman" w:eastAsia="宋体"/>
                <w:kern w:val="0"/>
                <w:sz w:val="18"/>
                <w:szCs w:val="18"/>
              </w:rPr>
              <w:t>个</w:t>
            </w:r>
          </w:p>
        </w:tc>
        <w:tc>
          <w:tcPr>
            <w:tcW w:w="851"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5</w:t>
            </w:r>
            <w:r>
              <w:rPr>
                <w:rFonts w:hint="eastAsia" w:ascii="Times New Roman" w:hAnsi="Times New Roman" w:eastAsia="宋体"/>
                <w:kern w:val="0"/>
                <w:sz w:val="18"/>
                <w:szCs w:val="18"/>
              </w:rPr>
              <w:t>个</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2.5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2.5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561"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ascii="Times New Roman" w:hAnsi="Times New Roman" w:eastAsia="宋体"/>
                <w:kern w:val="0"/>
                <w:sz w:val="18"/>
                <w:szCs w:val="18"/>
              </w:rPr>
              <w:t>2.</w:t>
            </w:r>
            <w:r>
              <w:rPr>
                <w:rFonts w:hint="eastAsia" w:ascii="Times New Roman" w:hAnsi="Times New Roman" w:eastAsia="宋体"/>
                <w:kern w:val="0"/>
                <w:sz w:val="18"/>
                <w:szCs w:val="18"/>
              </w:rPr>
              <w:t>发挥基层少数民族服务站作用</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6</w:t>
            </w:r>
            <w:r>
              <w:rPr>
                <w:rFonts w:hint="eastAsia" w:ascii="Times New Roman" w:hAnsi="Times New Roman" w:eastAsia="宋体"/>
                <w:kern w:val="0"/>
                <w:sz w:val="18"/>
                <w:szCs w:val="18"/>
              </w:rPr>
              <w:t>个</w:t>
            </w:r>
          </w:p>
        </w:tc>
        <w:tc>
          <w:tcPr>
            <w:tcW w:w="851"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6</w:t>
            </w:r>
            <w:r>
              <w:rPr>
                <w:rFonts w:hint="eastAsia" w:ascii="Times New Roman" w:hAnsi="Times New Roman" w:eastAsia="宋体"/>
                <w:kern w:val="0"/>
                <w:sz w:val="18"/>
                <w:szCs w:val="18"/>
              </w:rPr>
              <w:t>个</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2.5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2.5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569"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ascii="Times New Roman" w:hAnsi="Times New Roman" w:eastAsia="宋体"/>
                <w:kern w:val="0"/>
                <w:sz w:val="18"/>
                <w:szCs w:val="18"/>
              </w:rPr>
            </w:pPr>
            <w:r>
              <w:rPr>
                <w:rFonts w:ascii="Times New Roman" w:hAnsi="Times New Roman" w:eastAsia="宋体"/>
                <w:kern w:val="0"/>
                <w:sz w:val="18"/>
                <w:szCs w:val="18"/>
              </w:rPr>
              <w:t>3.</w:t>
            </w:r>
            <w:r>
              <w:rPr>
                <w:rFonts w:hint="eastAsia" w:ascii="Times New Roman" w:hAnsi="Times New Roman" w:eastAsia="宋体"/>
                <w:kern w:val="0"/>
                <w:sz w:val="18"/>
                <w:szCs w:val="18"/>
              </w:rPr>
              <w:t>加强涉台教育基地建设</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3</w:t>
            </w:r>
            <w:r>
              <w:rPr>
                <w:rFonts w:hint="eastAsia" w:ascii="Times New Roman" w:hAnsi="Times New Roman" w:eastAsia="宋体"/>
                <w:kern w:val="0"/>
                <w:sz w:val="18"/>
                <w:szCs w:val="18"/>
              </w:rPr>
              <w:t>个</w:t>
            </w:r>
          </w:p>
        </w:tc>
        <w:tc>
          <w:tcPr>
            <w:tcW w:w="851"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3</w:t>
            </w:r>
            <w:r>
              <w:rPr>
                <w:rFonts w:hint="eastAsia" w:ascii="Times New Roman" w:hAnsi="Times New Roman" w:eastAsia="宋体"/>
                <w:kern w:val="0"/>
                <w:sz w:val="18"/>
                <w:szCs w:val="18"/>
              </w:rPr>
              <w:t>个</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2.5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2.5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1002"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ascii="Times New Roman" w:hAnsi="Times New Roman" w:eastAsia="宋体"/>
                <w:kern w:val="0"/>
                <w:sz w:val="18"/>
                <w:szCs w:val="18"/>
              </w:rPr>
            </w:pPr>
            <w:r>
              <w:rPr>
                <w:rFonts w:ascii="Times New Roman" w:hAnsi="Times New Roman" w:eastAsia="宋体"/>
                <w:kern w:val="0"/>
                <w:sz w:val="18"/>
                <w:szCs w:val="18"/>
              </w:rPr>
              <w:t>4.</w:t>
            </w:r>
            <w:r>
              <w:rPr>
                <w:rFonts w:hint="eastAsia" w:ascii="Times New Roman" w:hAnsi="Times New Roman" w:eastAsia="宋体"/>
                <w:kern w:val="0"/>
                <w:sz w:val="18"/>
                <w:szCs w:val="18"/>
              </w:rPr>
              <w:t>建设新侨和留学生创新创业服务平台和侨联工作基层组织</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3</w:t>
            </w:r>
            <w:r>
              <w:rPr>
                <w:rFonts w:hint="eastAsia" w:ascii="Times New Roman" w:hAnsi="Times New Roman" w:eastAsia="宋体"/>
                <w:kern w:val="0"/>
                <w:sz w:val="18"/>
                <w:szCs w:val="18"/>
              </w:rPr>
              <w:t>个</w:t>
            </w:r>
          </w:p>
        </w:tc>
        <w:tc>
          <w:tcPr>
            <w:tcW w:w="851"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3</w:t>
            </w:r>
            <w:r>
              <w:rPr>
                <w:rFonts w:hint="eastAsia" w:ascii="Times New Roman" w:hAnsi="Times New Roman" w:eastAsia="宋体"/>
                <w:kern w:val="0"/>
                <w:sz w:val="18"/>
                <w:szCs w:val="18"/>
              </w:rPr>
              <w:t>个</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2.5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2.5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1381"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80" w:lineRule="exact"/>
              <w:ind w:firstLine="180" w:firstLineChars="100"/>
              <w:rPr>
                <w:rFonts w:ascii="Times New Roman" w:hAnsi="Times New Roman" w:eastAsia="宋体"/>
                <w:kern w:val="0"/>
                <w:sz w:val="18"/>
                <w:szCs w:val="18"/>
              </w:rPr>
            </w:pPr>
            <w:r>
              <w:rPr>
                <w:rFonts w:ascii="Times New Roman" w:hAnsi="Times New Roman" w:eastAsia="宋体"/>
                <w:kern w:val="0"/>
                <w:sz w:val="18"/>
                <w:szCs w:val="18"/>
              </w:rPr>
              <w:t>1.</w:t>
            </w:r>
            <w:r>
              <w:rPr>
                <w:rFonts w:hint="eastAsia" w:ascii="Times New Roman" w:hAnsi="Times New Roman" w:eastAsia="宋体"/>
                <w:kern w:val="0"/>
                <w:sz w:val="18"/>
                <w:szCs w:val="18"/>
              </w:rPr>
              <w:t>严格按照《“四美”宗教活动场所（民间信仰活动场所）创建标准》评选“四美”宗教活动场所。</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1416"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80" w:lineRule="exact"/>
              <w:ind w:firstLine="180" w:firstLineChars="100"/>
              <w:rPr>
                <w:rFonts w:ascii="Times New Roman" w:hAnsi="Times New Roman" w:eastAsia="宋体"/>
                <w:kern w:val="0"/>
                <w:sz w:val="18"/>
                <w:szCs w:val="18"/>
              </w:rPr>
            </w:pPr>
            <w:r>
              <w:rPr>
                <w:rFonts w:ascii="Times New Roman" w:hAnsi="Times New Roman" w:eastAsia="宋体"/>
                <w:kern w:val="0"/>
                <w:sz w:val="18"/>
                <w:szCs w:val="18"/>
              </w:rPr>
              <w:t>2.</w:t>
            </w:r>
            <w:r>
              <w:rPr>
                <w:rFonts w:hint="eastAsia" w:ascii="Times New Roman" w:hAnsi="Times New Roman" w:eastAsia="宋体"/>
                <w:kern w:val="0"/>
                <w:sz w:val="18"/>
                <w:szCs w:val="18"/>
              </w:rPr>
              <w:t>对照《长沙统一战线同心创建工作实施办法》的创建标准，申报和创建市、区级同心创建工作点。</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　按照工作计划完成</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按照年初预算执行</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效益指标</w:t>
            </w: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经济效益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1745"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社会效益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通过四美宗教活动场所创建工作，建设一批管理安全有序、建筑环境优美、人文内涵深厚、社会声誉良好的宗教活动场所。</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生态效益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407"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1.通过同心创建工作，充分整合统一战线优势资源，让统战成员更加精准地服务中心大局。</w:t>
            </w:r>
          </w:p>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2.深入推进宗教与社会主义社会相适应，确保宗教领域和谐稳定。</w:t>
            </w:r>
          </w:p>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3.团结和动员港澳台同胞和海外侨胞投身改革开放和现代化建设，为引进海外人才、资金、技术和智力服务，促进海内外经贸合作和科技交流发挥积极作用。</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　</w:t>
            </w:r>
            <w:r>
              <w:rPr>
                <w:rFonts w:ascii="Times New Roman" w:hAnsi="Times New Roman" w:eastAsia="宋体"/>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满意度</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Times New Roman" w:hAnsi="Times New Roman" w:eastAsia="宋体"/>
                <w:kern w:val="0"/>
                <w:sz w:val="18"/>
                <w:szCs w:val="18"/>
              </w:rPr>
              <w:t>统战成员满意度</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w:t>
            </w:r>
            <w:r>
              <w:rPr>
                <w:rFonts w:ascii="Times New Roman" w:hAnsi="Times New Roman" w:eastAsia="宋体"/>
                <w:kern w:val="0"/>
                <w:sz w:val="18"/>
                <w:szCs w:val="18"/>
              </w:rPr>
              <w:t>95%</w:t>
            </w:r>
          </w:p>
        </w:tc>
        <w:tc>
          <w:tcPr>
            <w:tcW w:w="851"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100%</w:t>
            </w:r>
            <w:r>
              <w:rPr>
                <w:rFonts w:hint="eastAsia" w:ascii="Times New Roman" w:hAnsi="Times New Roman" w:eastAsia="宋体"/>
                <w:kern w:val="0"/>
                <w:sz w:val="18"/>
                <w:szCs w:val="18"/>
              </w:rPr>
              <w:t>　</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6529" w:type="dxa"/>
            <w:gridSpan w:val="8"/>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总分</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56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bl>
    <w:p>
      <w:pPr>
        <w:jc w:val="center"/>
        <w:rPr>
          <w:rFonts w:ascii="新宋体" w:hAnsi="新宋体" w:eastAsia="新宋体" w:cs="仿宋"/>
          <w:sz w:val="44"/>
          <w:szCs w:val="44"/>
        </w:rPr>
      </w:pPr>
    </w:p>
    <w:p>
      <w:pPr>
        <w:widowControl/>
        <w:spacing w:line="240" w:lineRule="auto"/>
        <w:jc w:val="left"/>
        <w:rPr>
          <w:rFonts w:ascii="新宋体" w:hAnsi="新宋体" w:eastAsia="新宋体" w:cs="仿宋"/>
          <w:sz w:val="44"/>
          <w:szCs w:val="44"/>
        </w:rPr>
      </w:pPr>
      <w:r>
        <w:rPr>
          <w:rFonts w:ascii="新宋体" w:hAnsi="新宋体" w:eastAsia="新宋体" w:cs="仿宋"/>
          <w:sz w:val="44"/>
          <w:szCs w:val="44"/>
        </w:rPr>
        <w:br w:type="page"/>
      </w:r>
    </w:p>
    <w:p>
      <w:pPr>
        <w:jc w:val="center"/>
        <w:rPr>
          <w:rFonts w:ascii="新宋体" w:hAnsi="新宋体" w:eastAsia="新宋体" w:cs="仿宋"/>
          <w:sz w:val="44"/>
          <w:szCs w:val="44"/>
        </w:rPr>
      </w:pPr>
    </w:p>
    <w:p>
      <w:pPr>
        <w:jc w:val="center"/>
        <w:rPr>
          <w:rFonts w:ascii="新宋体" w:hAnsi="新宋体" w:eastAsia="新宋体" w:cs="方正小标宋_GBK"/>
          <w:sz w:val="44"/>
          <w:szCs w:val="44"/>
        </w:rPr>
      </w:pPr>
      <w:r>
        <w:rPr>
          <w:rFonts w:hint="eastAsia" w:ascii="新宋体" w:hAnsi="新宋体" w:eastAsia="新宋体" w:cs="仿宋"/>
          <w:sz w:val="44"/>
          <w:szCs w:val="44"/>
        </w:rPr>
        <w:t>2019</w:t>
      </w:r>
      <w:r>
        <w:rPr>
          <w:rFonts w:hint="eastAsia" w:ascii="新宋体" w:hAnsi="新宋体" w:eastAsia="新宋体" w:cs="方正小标宋_GBK"/>
          <w:sz w:val="44"/>
          <w:szCs w:val="44"/>
        </w:rPr>
        <w:t>年度</w:t>
      </w:r>
      <w:r>
        <w:rPr>
          <w:rFonts w:hint="eastAsia" w:ascii="新宋体" w:hAnsi="新宋体" w:eastAsia="新宋体" w:cs="仿宋"/>
          <w:sz w:val="44"/>
          <w:szCs w:val="44"/>
        </w:rPr>
        <w:t>统战事务</w:t>
      </w:r>
      <w:r>
        <w:rPr>
          <w:rFonts w:hint="eastAsia" w:ascii="新宋体" w:hAnsi="新宋体" w:eastAsia="新宋体" w:cs="方正小标宋_GBK"/>
          <w:sz w:val="44"/>
          <w:szCs w:val="44"/>
        </w:rPr>
        <w:t>专项资金绩效自评报告</w:t>
      </w:r>
    </w:p>
    <w:p>
      <w:pPr>
        <w:jc w:val="center"/>
        <w:rPr>
          <w:rFonts w:ascii="楷体" w:hAnsi="楷体" w:eastAsia="楷体"/>
          <w:szCs w:val="30"/>
        </w:rPr>
      </w:pPr>
      <w:r>
        <w:rPr>
          <w:rFonts w:hint="eastAsia" w:ascii="楷体" w:hAnsi="楷体" w:eastAsia="楷体"/>
          <w:szCs w:val="30"/>
        </w:rPr>
        <w:t>长沙市望城区委统战部</w:t>
      </w:r>
    </w:p>
    <w:p>
      <w:pPr>
        <w:jc w:val="center"/>
        <w:rPr>
          <w:sz w:val="30"/>
          <w:szCs w:val="30"/>
        </w:rPr>
      </w:pPr>
    </w:p>
    <w:p>
      <w:pPr>
        <w:spacing w:line="540" w:lineRule="exact"/>
        <w:ind w:firstLine="600" w:firstLineChars="200"/>
        <w:rPr>
          <w:rFonts w:ascii="黑体" w:hAnsi="黑体" w:eastAsia="黑体"/>
          <w:sz w:val="30"/>
          <w:szCs w:val="30"/>
        </w:rPr>
      </w:pPr>
      <w:r>
        <w:rPr>
          <w:rFonts w:hint="eastAsia" w:ascii="黑体" w:hAnsi="黑体" w:eastAsia="黑体"/>
          <w:sz w:val="30"/>
          <w:szCs w:val="30"/>
        </w:rPr>
        <w:t>一、基本情况</w:t>
      </w:r>
    </w:p>
    <w:p>
      <w:pPr>
        <w:spacing w:line="540" w:lineRule="exact"/>
        <w:ind w:firstLine="640" w:firstLineChars="200"/>
        <w:outlineLvl w:val="0"/>
      </w:pPr>
      <w:r>
        <w:rPr>
          <w:rFonts w:hint="eastAsia"/>
        </w:rPr>
        <w:t>长沙市</w:t>
      </w:r>
      <w:r>
        <w:rPr>
          <w:rFonts w:hint="eastAsia" w:hAnsi="Arial" w:cs="Arial"/>
        </w:rPr>
        <w:t>望城区委统战部是全额拨款的行政单位，内设办公室、党外人士联络办公室、新的社会阶层代表人士联络办公室，加挂区民族宗教事务局牌子，对外使用区政府侨务办公室的名称，归口管理区归侨侨眷联合会。区委统战部（区民宗局）机关行政编制9名、机关后勤全额拨款事业编制2名、二级机构区统战事务服务中心全额拨款事业编制3名，区归侨侨眷联合会机关事业编制3名。在职人数17人，其中：行政编制10人，事业编制3名，政府雇员2人，临聘人员2人。退休人员9人，遗属人员4人。</w:t>
      </w:r>
    </w:p>
    <w:p>
      <w:pPr>
        <w:spacing w:line="540" w:lineRule="exact"/>
        <w:ind w:firstLine="640" w:firstLineChars="200"/>
        <w:outlineLvl w:val="0"/>
        <w:rPr>
          <w:sz w:val="30"/>
          <w:szCs w:val="30"/>
        </w:rPr>
      </w:pPr>
      <w:r>
        <w:t>按照</w:t>
      </w:r>
      <w:r>
        <w:rPr>
          <w:rFonts w:hint="eastAsia"/>
        </w:rPr>
        <w:t>《中国共产党统一战线工作条例（试行）》、</w:t>
      </w:r>
      <w:r>
        <w:t>《长沙市望城区专项资金管理办法》的有关要求，经区政府批准，</w:t>
      </w:r>
      <w:r>
        <w:rPr>
          <w:rFonts w:hint="eastAsia"/>
        </w:rPr>
        <w:t>2019年</w:t>
      </w:r>
      <w:r>
        <w:t>区财政预算安排</w:t>
      </w:r>
      <w:r>
        <w:rPr>
          <w:rFonts w:hint="eastAsia"/>
        </w:rPr>
        <w:t>统战事务</w:t>
      </w:r>
      <w:r>
        <w:t>专项资金</w:t>
      </w:r>
      <w:r>
        <w:rPr>
          <w:rFonts w:hint="eastAsia"/>
        </w:rPr>
        <w:t>350万元</w:t>
      </w:r>
      <w:r>
        <w:t>，用于</w:t>
      </w:r>
      <w:r>
        <w:rPr>
          <w:rFonts w:hint="eastAsia"/>
        </w:rPr>
        <w:t>民族宗教、港澳台侨、 “同心创建”工作、非公经济等统战项目以及统战重要活动经费保障。</w:t>
      </w:r>
    </w:p>
    <w:p>
      <w:pPr>
        <w:spacing w:line="620" w:lineRule="exact"/>
        <w:ind w:firstLine="640" w:firstLineChars="200"/>
        <w:rPr>
          <w:rFonts w:eastAsia="黑体"/>
          <w:kern w:val="0"/>
        </w:rPr>
      </w:pPr>
      <w:r>
        <w:rPr>
          <w:rFonts w:hint="eastAsia" w:eastAsia="黑体"/>
          <w:kern w:val="0"/>
        </w:rPr>
        <w:t>二、项目资金使用及管理情况</w:t>
      </w:r>
    </w:p>
    <w:p>
      <w:pPr>
        <w:spacing w:line="600" w:lineRule="exact"/>
        <w:ind w:firstLine="642"/>
      </w:pPr>
      <w:r>
        <w:rPr>
          <w:rFonts w:hint="eastAsia"/>
        </w:rPr>
        <w:t>2019年年初预算批复的统战事务专项经费350万元，已于2019年11月由区财政全部拨付到位。主要用于：涉台教育基地建设工作经费9万元，新侨和留学生创新创业服务平台建设及侨联工作示范点创建经费30万元，少数民族群众服务站运转经费30万元，民族宗教团体工作经费70万元，四美宗教活动场所创建经费20万元，宗教活动场所规范化管理及维修经费95万元，“同心创建”示范点工作补助80万元，青年企业家成长计划——猎梦之路工作经费10万元，新的社会阶层人士统战工作实践创新基地建设经费6万元。</w:t>
      </w:r>
    </w:p>
    <w:p>
      <w:pPr>
        <w:spacing w:line="600" w:lineRule="exact"/>
        <w:ind w:firstLine="642"/>
      </w:pPr>
      <w:r>
        <w:rPr>
          <w:rFonts w:hint="eastAsia"/>
        </w:rPr>
        <w:t>为加强统战事务专项资金管理，充分发挥专项资金使用效率，根据《中华人民共和国预算法》、《长沙市望城区专项资金管理办法》（望政办发[2015]101号）等有关文件精神，我们制定了《统战事务专项资金管理办法》，从专项资金的预算编制、执行、支出进度、绩效监督、责任追究等方面做出了一系列规定，确保专项资金使用管理规范。</w:t>
      </w:r>
    </w:p>
    <w:p>
      <w:pPr>
        <w:spacing w:line="620" w:lineRule="exact"/>
        <w:ind w:firstLine="640" w:firstLineChars="200"/>
        <w:rPr>
          <w:rFonts w:eastAsia="黑体"/>
          <w:kern w:val="0"/>
        </w:rPr>
      </w:pPr>
      <w:r>
        <w:rPr>
          <w:rFonts w:hint="eastAsia" w:eastAsia="黑体"/>
          <w:kern w:val="0"/>
        </w:rPr>
        <w:t>三、项目组织实施情况</w:t>
      </w:r>
    </w:p>
    <w:p>
      <w:pPr>
        <w:spacing w:line="600" w:lineRule="exact"/>
        <w:ind w:firstLine="642"/>
      </w:pPr>
      <w:r>
        <w:rPr>
          <w:rFonts w:hint="eastAsia" w:ascii="仿宋" w:hAnsi="仿宋" w:eastAsia="仿宋"/>
        </w:rPr>
        <w:t>2</w:t>
      </w:r>
      <w:r>
        <w:rPr>
          <w:rFonts w:hint="eastAsia"/>
        </w:rPr>
        <w:t>019年，我部对照年初绩效考核目标任务，主动作为、务实奋进、切实履行职责，狠抓工作落实，各项工作有序推进，较好地完成了年初确定的各项工作任务。通过加强预算收支管理，不断建立健全内部管理制度，梳理内部管理流程，部门整体支出管理水平得到提升。</w:t>
      </w:r>
      <w:bookmarkStart w:id="0" w:name="_Toc390113218"/>
      <w:bookmarkEnd w:id="0"/>
    </w:p>
    <w:p>
      <w:pPr>
        <w:spacing w:line="600" w:lineRule="exact"/>
        <w:ind w:firstLine="642"/>
      </w:pPr>
      <w:r>
        <w:rPr>
          <w:rFonts w:hint="eastAsia"/>
        </w:rPr>
        <w:t>1、实行“事前呈报、一事一报”制度，确保经费支出的事前控制。</w:t>
      </w:r>
    </w:p>
    <w:p>
      <w:pPr>
        <w:spacing w:line="600" w:lineRule="exact"/>
        <w:ind w:firstLine="642"/>
      </w:pPr>
      <w:r>
        <w:rPr>
          <w:rFonts w:hint="eastAsia"/>
        </w:rPr>
        <w:t>2、实行重点管控，确保“三公”等经费只减不增。公务接待实行定点接待，与公务无关的接待不予报销，严格按标准接待。</w:t>
      </w:r>
    </w:p>
    <w:p>
      <w:pPr>
        <w:spacing w:line="600" w:lineRule="exact"/>
        <w:ind w:firstLine="642"/>
      </w:pPr>
      <w:r>
        <w:rPr>
          <w:rFonts w:hint="eastAsia"/>
        </w:rPr>
        <w:t>3、严格审核审批，严控经费支出。一是严格审核原始单据，要求发票合法合规，相关资料真实完整，不符合要求的不予报账；二是严格审核经费来源，根据部门预算安排和资金使用进度，核实每笔报账申请的经费来源，无预算的支出不予报账；三是严格审核各项制度执行情况，没有按规定及程序审批的不予报账。</w:t>
      </w:r>
    </w:p>
    <w:p>
      <w:pPr>
        <w:spacing w:line="600" w:lineRule="exact"/>
        <w:ind w:firstLine="642"/>
        <w:rPr>
          <w:rFonts w:ascii="仿宋" w:hAnsi="仿宋" w:eastAsia="仿宋"/>
        </w:rPr>
      </w:pPr>
      <w:r>
        <w:rPr>
          <w:rFonts w:hint="eastAsia"/>
        </w:rPr>
        <w:t>4、项目组织实施过程中，对其中涉及政府采购事项，我部严格按照政府采购法规及制度中规定的对政府采购的相关要求执行，以政府采购合同规定的技术、服务、安全标准组织对供应商履约情况进行验收。</w:t>
      </w:r>
    </w:p>
    <w:p>
      <w:pPr>
        <w:spacing w:line="620" w:lineRule="exact"/>
        <w:ind w:firstLine="640" w:firstLineChars="200"/>
        <w:rPr>
          <w:rFonts w:eastAsia="黑体"/>
          <w:kern w:val="0"/>
        </w:rPr>
      </w:pPr>
      <w:r>
        <w:rPr>
          <w:rFonts w:hint="eastAsia" w:eastAsia="黑体"/>
          <w:kern w:val="0"/>
        </w:rPr>
        <w:t>四、项目绩效情况</w:t>
      </w:r>
    </w:p>
    <w:p>
      <w:pPr>
        <w:spacing w:line="600" w:lineRule="exact"/>
        <w:ind w:firstLine="642"/>
      </w:pPr>
      <w:r>
        <w:rPr>
          <w:rFonts w:hint="eastAsia"/>
        </w:rPr>
        <w:t>2019年，望城区统一战线在望城区委的坚强领导和省、市统战部门的精心指导下，认真贯彻落实中央、省、市统一战线重大决策部署，围绕建设名望之城奋斗目标，凝心聚力，务实创新，为全区经济社会发展作出了积极贡献。</w:t>
      </w:r>
    </w:p>
    <w:p>
      <w:pPr>
        <w:spacing w:line="600" w:lineRule="exact"/>
      </w:pPr>
      <w:r>
        <w:rPr>
          <w:rFonts w:hint="eastAsia"/>
        </w:rPr>
        <w:t xml:space="preserve">    1.涉台教育基地建设。通过乌山街道旺旺路社区、高塘岭实验小学、向阳中学三家涉台教育基地，开展涉台教育系列活动，让广大党员和群众进一步懂得完成祖国统一大业是每一个中国人神圣的历史使命和崇高目标，了解掌握我国新形势下“和平统一</w:t>
      </w:r>
      <w:r>
        <w:rPr>
          <w:rFonts w:hint="eastAsia"/>
          <w:lang w:eastAsia="zh-CN"/>
        </w:rPr>
        <w:t>、</w:t>
      </w:r>
      <w:bookmarkStart w:id="1" w:name="_GoBack"/>
      <w:bookmarkEnd w:id="1"/>
      <w:r>
        <w:rPr>
          <w:rFonts w:hint="eastAsia"/>
        </w:rPr>
        <w:t>一国两制”的对台方针，了解台湾的政治、历史、文化、风土人情。</w:t>
      </w:r>
    </w:p>
    <w:p>
      <w:pPr>
        <w:spacing w:line="600" w:lineRule="exact"/>
        <w:ind w:firstLine="642"/>
      </w:pPr>
      <w:r>
        <w:rPr>
          <w:rFonts w:hint="eastAsia"/>
        </w:rPr>
        <w:t>2.新侨和留学生创新创业服务平台建设及侨联工作示范点创建工作。在新侨和留学生创新创业服务平台建设方面，为入驻企业提供了从企业注册登记到行业资质认定、项目资金申报、知识产权申请、财务咨询、投融资咨询与服务、人力资源、企业培训等“一站式”服务，成为长沙创新创业人才队伍的重要组成部分。在侨联工作示范点创建方面，建立侨联工作网络，健全归侨侨眷台</w:t>
      </w:r>
      <w:r>
        <w:rPr>
          <w:rFonts w:hint="eastAsia"/>
          <w:lang w:eastAsia="zh-CN"/>
        </w:rPr>
        <w:t>账</w:t>
      </w:r>
      <w:r>
        <w:rPr>
          <w:rFonts w:hint="eastAsia"/>
        </w:rPr>
        <w:t>资料，并在侨联工作示范社区成立了垂直到底，包管到人，由社区居委会、区侨联组成的包管网络，由每个侨联联络员包管到每个归侨侨眷家庭，加深了社区干部对侨务工作的认识，归侨侨眷和在社区生活的侨胞得到更方便的服务。</w:t>
      </w:r>
    </w:p>
    <w:p>
      <w:pPr>
        <w:spacing w:line="600" w:lineRule="exact"/>
        <w:ind w:firstLine="642"/>
      </w:pPr>
      <w:r>
        <w:rPr>
          <w:rFonts w:hint="eastAsia"/>
        </w:rPr>
        <w:t xml:space="preserve">3. </w:t>
      </w:r>
      <w:r>
        <w:rPr>
          <w:rFonts w:hint="eastAsia" w:hAnsi="仿宋"/>
        </w:rPr>
        <w:t>推动民族宗教规范管理新发展。指导少数民族服务站开展民族团结进步创建活动，望城一中获评全省“民族团结进步教育示范基地”，中南社区被评为全市“民族团结进步创建活动示范社区”；选举新一届道协理事会；做好宗教领域巡视整改相关工作，依法管理基督教私设聚会点；分别举办全区宗教教职人员和驻区高校民族宗教工作专题培训，加强高校抵御宗教渗透意识和能力；联合区教育局、区国保大队及街镇、村（社区）对区内高校调研，建立高校与地方的联系会商机制,共同抵御宗教向高校渗透；深入挖掘宗教场所“四美创建”文化内涵，在《中国宗教》刊发经验文章；引导洗心禅寺举行第六届“善拍”，开展“万名学子助学计划”，782名寒门学子获洗心基金会助学金312.8万。</w:t>
      </w:r>
    </w:p>
    <w:p>
      <w:pPr>
        <w:spacing w:line="600" w:lineRule="exact"/>
        <w:ind w:firstLine="642"/>
      </w:pPr>
      <w:r>
        <w:rPr>
          <w:rFonts w:hint="eastAsia"/>
        </w:rPr>
        <w:t>4.服务中心大局，稳步推进“同心创建”工作。坚持以点带面，积极开展“同心创建”示范点创建。按照“一点一特”要求，对示范点进行分类指导，精心打造，建立部领导联点、民主党派结对示范点的创建机制，进一步指导各示范点创造性开展工作，充分彰显创建特色。</w:t>
      </w:r>
    </w:p>
    <w:p>
      <w:pPr>
        <w:spacing w:line="600" w:lineRule="exact"/>
        <w:ind w:firstLine="642"/>
      </w:pPr>
      <w:r>
        <w:rPr>
          <w:rFonts w:hint="eastAsia"/>
        </w:rPr>
        <w:t>5.青年企业家成长计划——猎梦之路。实施“同心之声·猎梦之路——望城区青年企业家成长计划”（猎梦计划），以青商会为主体，打造了“猎梦空间”活动主阵地，加强青商事业发展和商机交流，服务和促进青年企业家成长成才。</w:t>
      </w:r>
    </w:p>
    <w:p>
      <w:pPr>
        <w:spacing w:line="540" w:lineRule="exact"/>
        <w:ind w:firstLine="600" w:firstLineChars="200"/>
        <w:rPr>
          <w:rFonts w:ascii="黑体" w:hAnsi="黑体" w:eastAsia="黑体"/>
          <w:sz w:val="30"/>
          <w:szCs w:val="30"/>
        </w:rPr>
      </w:pPr>
      <w:r>
        <w:rPr>
          <w:rFonts w:hint="eastAsia" w:ascii="黑体" w:hAnsi="黑体" w:eastAsia="黑体"/>
          <w:sz w:val="30"/>
          <w:szCs w:val="30"/>
        </w:rPr>
        <w:t>五、存在的问题及</w:t>
      </w:r>
      <w:r>
        <w:rPr>
          <w:rFonts w:ascii="Times New Roman" w:hAnsi="Times New Roman" w:eastAsia="黑体"/>
          <w:sz w:val="30"/>
        </w:rPr>
        <w:t>改进措施</w:t>
      </w:r>
    </w:p>
    <w:p>
      <w:pPr>
        <w:spacing w:line="540" w:lineRule="exact"/>
        <w:ind w:firstLine="640" w:firstLineChars="200"/>
        <w:rPr>
          <w:rFonts w:hAnsi="黑体"/>
        </w:rPr>
      </w:pPr>
      <w:r>
        <w:rPr>
          <w:rFonts w:hint="eastAsia" w:ascii="仿宋" w:hAnsi="仿宋" w:eastAsia="仿宋"/>
        </w:rPr>
        <w:t>项目实施过程中还存在绩效目标不够细化、量化，专项资金管理制度不够完善等问题。今后，我单位将进一步完善专项资金管理制度建设，强化预算绩效目标申报和审核，做到绩效目标科学合理，细化量化，提高财政资金使用效益。</w:t>
      </w:r>
    </w:p>
    <w:sectPr>
      <w:footerReference r:id="rId5" w:type="default"/>
      <w:footerReference r:id="rId6" w:type="even"/>
      <w:pgSz w:w="11906" w:h="16838"/>
      <w:pgMar w:top="1701" w:right="1587" w:bottom="1417" w:left="1701" w:header="851" w:footer="850" w:gutter="0"/>
      <w:pgNumType w:fmt="numberInDash"/>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方正小标宋_GBK">
    <w:altName w:val="Times New Roman"/>
    <w:panose1 w:val="00000000000000000000"/>
    <w:charset w:val="00"/>
    <w:family w:val="auto"/>
    <w:pitch w:val="default"/>
    <w:sig w:usb0="00000000" w:usb1="00000000" w:usb2="00000000" w:usb3="00000000" w:csb0="00040001" w:csb1="0000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13 -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14 -</w:t>
        </w:r>
        <w:r>
          <w:rPr>
            <w:rFonts w:hint="eastAsia" w:ascii="仿宋" w:hAnsi="仿宋" w:eastAsia="仿宋" w:cs="仿宋"/>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60"/>
  <w:drawingGridVerticalSpacing w:val="435"/>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WM3YTlhMTkzNTU0OWNmMmJmNDEyMGYxMjBmZjY4ODUifQ=="/>
  </w:docVars>
  <w:rsids>
    <w:rsidRoot w:val="00303747"/>
    <w:rsid w:val="00005D88"/>
    <w:rsid w:val="00017EBD"/>
    <w:rsid w:val="0002677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3C5A"/>
    <w:rsid w:val="00294D02"/>
    <w:rsid w:val="002956A8"/>
    <w:rsid w:val="002A1C9D"/>
    <w:rsid w:val="002D2B17"/>
    <w:rsid w:val="002D6DE6"/>
    <w:rsid w:val="002F3189"/>
    <w:rsid w:val="002F4C93"/>
    <w:rsid w:val="002F5B62"/>
    <w:rsid w:val="002F7238"/>
    <w:rsid w:val="00301210"/>
    <w:rsid w:val="00303747"/>
    <w:rsid w:val="00304A80"/>
    <w:rsid w:val="00311F5D"/>
    <w:rsid w:val="003202CE"/>
    <w:rsid w:val="00327896"/>
    <w:rsid w:val="003370D8"/>
    <w:rsid w:val="00344F4D"/>
    <w:rsid w:val="00345F10"/>
    <w:rsid w:val="00347B6E"/>
    <w:rsid w:val="0035691A"/>
    <w:rsid w:val="00365CB3"/>
    <w:rsid w:val="003663D1"/>
    <w:rsid w:val="0037668D"/>
    <w:rsid w:val="003809B6"/>
    <w:rsid w:val="00382329"/>
    <w:rsid w:val="003A32AD"/>
    <w:rsid w:val="003D2DBF"/>
    <w:rsid w:val="003E2B22"/>
    <w:rsid w:val="003F52D0"/>
    <w:rsid w:val="0040427F"/>
    <w:rsid w:val="00406148"/>
    <w:rsid w:val="00406EF4"/>
    <w:rsid w:val="00413BF7"/>
    <w:rsid w:val="004358A4"/>
    <w:rsid w:val="004378B6"/>
    <w:rsid w:val="0044035E"/>
    <w:rsid w:val="00486AFF"/>
    <w:rsid w:val="00490592"/>
    <w:rsid w:val="004C06F3"/>
    <w:rsid w:val="004C0FAE"/>
    <w:rsid w:val="004C37B2"/>
    <w:rsid w:val="004C420F"/>
    <w:rsid w:val="004D05A9"/>
    <w:rsid w:val="004E1BAF"/>
    <w:rsid w:val="004E5E17"/>
    <w:rsid w:val="004F24CD"/>
    <w:rsid w:val="00502C54"/>
    <w:rsid w:val="005362BF"/>
    <w:rsid w:val="00553249"/>
    <w:rsid w:val="00570BC5"/>
    <w:rsid w:val="0058038F"/>
    <w:rsid w:val="00583EAA"/>
    <w:rsid w:val="005A2FDD"/>
    <w:rsid w:val="005A43DF"/>
    <w:rsid w:val="005B5668"/>
    <w:rsid w:val="005C304E"/>
    <w:rsid w:val="005C424E"/>
    <w:rsid w:val="005D1FF9"/>
    <w:rsid w:val="005D34B9"/>
    <w:rsid w:val="005D6E14"/>
    <w:rsid w:val="005E1771"/>
    <w:rsid w:val="005F4A12"/>
    <w:rsid w:val="0060178E"/>
    <w:rsid w:val="006078F9"/>
    <w:rsid w:val="00610F28"/>
    <w:rsid w:val="00620E58"/>
    <w:rsid w:val="006270C6"/>
    <w:rsid w:val="006354FD"/>
    <w:rsid w:val="00641607"/>
    <w:rsid w:val="006541F2"/>
    <w:rsid w:val="00656D1E"/>
    <w:rsid w:val="00661D5E"/>
    <w:rsid w:val="00662C5F"/>
    <w:rsid w:val="006650D7"/>
    <w:rsid w:val="006766CC"/>
    <w:rsid w:val="00681735"/>
    <w:rsid w:val="006924C4"/>
    <w:rsid w:val="006936A2"/>
    <w:rsid w:val="006971C6"/>
    <w:rsid w:val="006C059F"/>
    <w:rsid w:val="006C3575"/>
    <w:rsid w:val="006D7E4D"/>
    <w:rsid w:val="006F0A44"/>
    <w:rsid w:val="006F3429"/>
    <w:rsid w:val="006F5EBB"/>
    <w:rsid w:val="007336F9"/>
    <w:rsid w:val="00742C69"/>
    <w:rsid w:val="00755B22"/>
    <w:rsid w:val="00783BAD"/>
    <w:rsid w:val="007A02CE"/>
    <w:rsid w:val="007B18AE"/>
    <w:rsid w:val="007B3CF7"/>
    <w:rsid w:val="007D60DD"/>
    <w:rsid w:val="00815068"/>
    <w:rsid w:val="00816734"/>
    <w:rsid w:val="00822809"/>
    <w:rsid w:val="00830963"/>
    <w:rsid w:val="00833171"/>
    <w:rsid w:val="00834ED6"/>
    <w:rsid w:val="00851D5D"/>
    <w:rsid w:val="00856037"/>
    <w:rsid w:val="00864DD2"/>
    <w:rsid w:val="008854AA"/>
    <w:rsid w:val="008A491C"/>
    <w:rsid w:val="008A4AAA"/>
    <w:rsid w:val="008A7835"/>
    <w:rsid w:val="008C5FEB"/>
    <w:rsid w:val="008D1C56"/>
    <w:rsid w:val="008D26E3"/>
    <w:rsid w:val="008E652E"/>
    <w:rsid w:val="0095469C"/>
    <w:rsid w:val="00964943"/>
    <w:rsid w:val="0099526A"/>
    <w:rsid w:val="009B1577"/>
    <w:rsid w:val="009B1AC1"/>
    <w:rsid w:val="009B2C90"/>
    <w:rsid w:val="009B7757"/>
    <w:rsid w:val="009D37B4"/>
    <w:rsid w:val="009F0B2A"/>
    <w:rsid w:val="009F6591"/>
    <w:rsid w:val="00A00280"/>
    <w:rsid w:val="00A00E85"/>
    <w:rsid w:val="00A019FC"/>
    <w:rsid w:val="00A02893"/>
    <w:rsid w:val="00A14ABE"/>
    <w:rsid w:val="00A17F2F"/>
    <w:rsid w:val="00A20306"/>
    <w:rsid w:val="00A23802"/>
    <w:rsid w:val="00A24C77"/>
    <w:rsid w:val="00A42276"/>
    <w:rsid w:val="00A4662B"/>
    <w:rsid w:val="00A5183F"/>
    <w:rsid w:val="00A53C64"/>
    <w:rsid w:val="00A61547"/>
    <w:rsid w:val="00A63BB3"/>
    <w:rsid w:val="00A87EDF"/>
    <w:rsid w:val="00A923A5"/>
    <w:rsid w:val="00AA3D07"/>
    <w:rsid w:val="00AA4F1C"/>
    <w:rsid w:val="00AA6438"/>
    <w:rsid w:val="00AB1353"/>
    <w:rsid w:val="00AD08EA"/>
    <w:rsid w:val="00AD2FCB"/>
    <w:rsid w:val="00AF120E"/>
    <w:rsid w:val="00AF6720"/>
    <w:rsid w:val="00B40C50"/>
    <w:rsid w:val="00B42100"/>
    <w:rsid w:val="00B44886"/>
    <w:rsid w:val="00B471BA"/>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001B"/>
    <w:rsid w:val="00BE69CE"/>
    <w:rsid w:val="00BF0FDB"/>
    <w:rsid w:val="00BF5D55"/>
    <w:rsid w:val="00C01BC1"/>
    <w:rsid w:val="00C06893"/>
    <w:rsid w:val="00C20566"/>
    <w:rsid w:val="00C42F72"/>
    <w:rsid w:val="00C56EEB"/>
    <w:rsid w:val="00C61D3E"/>
    <w:rsid w:val="00C67E84"/>
    <w:rsid w:val="00C707E7"/>
    <w:rsid w:val="00C76C38"/>
    <w:rsid w:val="00C877AA"/>
    <w:rsid w:val="00CB004E"/>
    <w:rsid w:val="00CB6E34"/>
    <w:rsid w:val="00CC560F"/>
    <w:rsid w:val="00CC65E0"/>
    <w:rsid w:val="00CD141B"/>
    <w:rsid w:val="00CF32B5"/>
    <w:rsid w:val="00CF5DB6"/>
    <w:rsid w:val="00D0168B"/>
    <w:rsid w:val="00D02FE0"/>
    <w:rsid w:val="00D039C0"/>
    <w:rsid w:val="00D24F0E"/>
    <w:rsid w:val="00D4027B"/>
    <w:rsid w:val="00D41579"/>
    <w:rsid w:val="00D53566"/>
    <w:rsid w:val="00D6185F"/>
    <w:rsid w:val="00D65F0E"/>
    <w:rsid w:val="00D71E8A"/>
    <w:rsid w:val="00D730FC"/>
    <w:rsid w:val="00D7691A"/>
    <w:rsid w:val="00D847CA"/>
    <w:rsid w:val="00D84920"/>
    <w:rsid w:val="00D942BB"/>
    <w:rsid w:val="00D95D63"/>
    <w:rsid w:val="00DD0D05"/>
    <w:rsid w:val="00DE47CA"/>
    <w:rsid w:val="00DE4EB0"/>
    <w:rsid w:val="00DE7A52"/>
    <w:rsid w:val="00DF7A1D"/>
    <w:rsid w:val="00E11918"/>
    <w:rsid w:val="00E13CF0"/>
    <w:rsid w:val="00E163FB"/>
    <w:rsid w:val="00E22060"/>
    <w:rsid w:val="00E52CEA"/>
    <w:rsid w:val="00E52FA1"/>
    <w:rsid w:val="00E62C0E"/>
    <w:rsid w:val="00E67D8B"/>
    <w:rsid w:val="00E70E00"/>
    <w:rsid w:val="00E73C44"/>
    <w:rsid w:val="00E84E5F"/>
    <w:rsid w:val="00E87BDF"/>
    <w:rsid w:val="00EA025F"/>
    <w:rsid w:val="00EA1811"/>
    <w:rsid w:val="00EA55DF"/>
    <w:rsid w:val="00ED2F0B"/>
    <w:rsid w:val="00EE0469"/>
    <w:rsid w:val="00EE50E1"/>
    <w:rsid w:val="00EF1F61"/>
    <w:rsid w:val="00EF320C"/>
    <w:rsid w:val="00F007A3"/>
    <w:rsid w:val="00F246BC"/>
    <w:rsid w:val="00F24D5C"/>
    <w:rsid w:val="00F30595"/>
    <w:rsid w:val="00F353B4"/>
    <w:rsid w:val="00F3588E"/>
    <w:rsid w:val="00F444AD"/>
    <w:rsid w:val="00F46099"/>
    <w:rsid w:val="00F5351D"/>
    <w:rsid w:val="00F562FB"/>
    <w:rsid w:val="00F63924"/>
    <w:rsid w:val="00F86F0C"/>
    <w:rsid w:val="00FE675D"/>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1DA7E77"/>
    <w:rsid w:val="52280F5E"/>
    <w:rsid w:val="52AE5D1F"/>
    <w:rsid w:val="52B92F0B"/>
    <w:rsid w:val="531A3FDA"/>
    <w:rsid w:val="5381244C"/>
    <w:rsid w:val="53AD1590"/>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8">
    <w:name w:val="page number"/>
    <w:basedOn w:val="7"/>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7"/>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14</Pages>
  <Words>1251</Words>
  <Characters>7137</Characters>
  <Lines>59</Lines>
  <Paragraphs>16</Paragraphs>
  <TotalTime>575</TotalTime>
  <ScaleCrop>false</ScaleCrop>
  <LinksUpToDate>false</LinksUpToDate>
  <CharactersWithSpaces>8372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姣^o^</cp:lastModifiedBy>
  <cp:lastPrinted>2020-05-11T06:04:00Z</cp:lastPrinted>
  <dcterms:modified xsi:type="dcterms:W3CDTF">2022-11-30T08:48:43Z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254746F4092C4A38A6A1AB53865A39EC</vt:lpwstr>
  </property>
</Properties>
</file>