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eastAsia="方正小标宋简体"/>
          <w:kern w:val="0"/>
          <w:sz w:val="40"/>
          <w:szCs w:val="40"/>
        </w:rPr>
      </w:pPr>
      <w:r>
        <w:rPr>
          <w:rFonts w:hint="eastAsia" w:ascii="黑体" w:hAnsi="黑体" w:eastAsia="黑体" w:cs="黑体"/>
          <w:kern w:val="0"/>
        </w:rPr>
        <w:t>附件</w:t>
      </w:r>
      <w:r>
        <w:rPr>
          <w:rFonts w:ascii="黑体" w:hAnsi="黑体" w:eastAsia="黑体" w:cs="黑体"/>
          <w:kern w:val="0"/>
        </w:rPr>
        <w:t>2</w:t>
      </w:r>
    </w:p>
    <w:p>
      <w:pPr>
        <w:spacing w:line="560" w:lineRule="exact"/>
        <w:jc w:val="center"/>
        <w:rPr>
          <w:rFonts w:eastAsia="方正小标宋简体"/>
          <w:kern w:val="0"/>
          <w:sz w:val="40"/>
          <w:szCs w:val="40"/>
        </w:rPr>
      </w:pPr>
      <w:r>
        <w:rPr>
          <w:rFonts w:ascii="仿宋" w:hAnsi="仿宋" w:eastAsia="仿宋" w:cs="仿宋"/>
          <w:kern w:val="0"/>
          <w:sz w:val="40"/>
          <w:szCs w:val="40"/>
        </w:rPr>
        <w:t>2019</w:t>
      </w:r>
      <w:r>
        <w:rPr>
          <w:rFonts w:hint="eastAsia" w:eastAsia="方正小标宋简体"/>
          <w:kern w:val="0"/>
          <w:sz w:val="40"/>
          <w:szCs w:val="40"/>
        </w:rPr>
        <w:t>年度部门整体支出绩效自评表</w:t>
      </w:r>
    </w:p>
    <w:p>
      <w:pPr>
        <w:spacing w:line="560" w:lineRule="exact"/>
        <w:jc w:val="center"/>
        <w:rPr>
          <w:rFonts w:eastAsia="方正小标宋简体"/>
          <w:kern w:val="0"/>
          <w:sz w:val="40"/>
          <w:szCs w:val="40"/>
        </w:rPr>
      </w:pPr>
    </w:p>
    <w:tbl>
      <w:tblPr>
        <w:tblStyle w:val="6"/>
        <w:tblW w:w="934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8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部门名称</w:t>
            </w:r>
          </w:p>
        </w:tc>
        <w:tc>
          <w:tcPr>
            <w:tcW w:w="3960" w:type="dxa"/>
            <w:gridSpan w:val="7"/>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长沙市望城区人民政府办公室</w:t>
            </w:r>
          </w:p>
        </w:tc>
        <w:tc>
          <w:tcPr>
            <w:tcW w:w="2102"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下属单位个数</w:t>
            </w:r>
          </w:p>
        </w:tc>
        <w:tc>
          <w:tcPr>
            <w:tcW w:w="1592"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整体支出规模</w:t>
            </w:r>
          </w:p>
        </w:tc>
        <w:tc>
          <w:tcPr>
            <w:tcW w:w="2160" w:type="dxa"/>
            <w:gridSpan w:val="5"/>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项</w:t>
            </w:r>
            <w:r>
              <w:rPr>
                <w:rFonts w:ascii="宋体" w:hAnsi="宋体" w:eastAsia="宋体" w:cs="宋体"/>
                <w:color w:val="000000"/>
                <w:sz w:val="21"/>
                <w:szCs w:val="21"/>
              </w:rPr>
              <w:t xml:space="preserve">   </w:t>
            </w:r>
            <w:r>
              <w:rPr>
                <w:rFonts w:hint="eastAsia" w:ascii="宋体" w:hAnsi="宋体" w:eastAsia="宋体" w:cs="宋体"/>
                <w:color w:val="000000"/>
                <w:sz w:val="21"/>
                <w:szCs w:val="21"/>
              </w:rPr>
              <w:t>目</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全年预算数</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全年执行数</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资</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金</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来</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源</w:t>
            </w:r>
          </w:p>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合计</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26</w:t>
            </w:r>
            <w:r>
              <w:rPr>
                <w:rFonts w:hint="eastAsia" w:ascii="宋体" w:hAnsi="宋体" w:eastAsia="宋体" w:cs="宋体"/>
                <w:color w:val="000000"/>
                <w:sz w:val="21"/>
                <w:szCs w:val="21"/>
              </w:rPr>
              <w:t>，</w:t>
            </w:r>
            <w:r>
              <w:rPr>
                <w:rFonts w:ascii="宋体" w:hAnsi="宋体" w:eastAsia="宋体" w:cs="宋体"/>
                <w:color w:val="000000"/>
                <w:sz w:val="21"/>
                <w:szCs w:val="21"/>
              </w:rPr>
              <w:t>983</w:t>
            </w:r>
            <w:r>
              <w:rPr>
                <w:rFonts w:hint="eastAsia" w:ascii="宋体" w:hAnsi="宋体" w:eastAsia="宋体" w:cs="宋体"/>
                <w:color w:val="000000"/>
                <w:sz w:val="21"/>
                <w:szCs w:val="21"/>
              </w:rPr>
              <w:t>，</w:t>
            </w:r>
            <w:r>
              <w:rPr>
                <w:rFonts w:ascii="宋体" w:hAnsi="宋体" w:eastAsia="宋体" w:cs="宋体"/>
                <w:color w:val="000000"/>
                <w:sz w:val="21"/>
                <w:szCs w:val="21"/>
              </w:rPr>
              <w:t>991</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w:t>
            </w:r>
            <w:r>
              <w:rPr>
                <w:rFonts w:ascii="宋体" w:hAnsi="宋体" w:eastAsia="宋体" w:cs="宋体"/>
                <w:color w:val="000000"/>
                <w:sz w:val="21"/>
                <w:szCs w:val="21"/>
              </w:rPr>
              <w:t>23</w:t>
            </w:r>
            <w:r>
              <w:rPr>
                <w:rFonts w:hint="eastAsia" w:ascii="宋体" w:hAnsi="宋体" w:eastAsia="宋体" w:cs="宋体"/>
                <w:color w:val="000000"/>
                <w:sz w:val="21"/>
                <w:szCs w:val="21"/>
              </w:rPr>
              <w:t>，</w:t>
            </w:r>
            <w:r>
              <w:rPr>
                <w:rFonts w:ascii="宋体" w:hAnsi="宋体" w:eastAsia="宋体" w:cs="宋体"/>
                <w:color w:val="000000"/>
                <w:sz w:val="21"/>
                <w:szCs w:val="21"/>
              </w:rPr>
              <w:t>139</w:t>
            </w:r>
            <w:r>
              <w:rPr>
                <w:rFonts w:hint="eastAsia" w:ascii="宋体" w:hAnsi="宋体" w:eastAsia="宋体" w:cs="宋体"/>
                <w:color w:val="000000"/>
                <w:sz w:val="21"/>
                <w:szCs w:val="21"/>
              </w:rPr>
              <w:t>，</w:t>
            </w:r>
            <w:r>
              <w:rPr>
                <w:rFonts w:ascii="宋体" w:hAnsi="宋体" w:eastAsia="宋体" w:cs="宋体"/>
                <w:color w:val="000000"/>
                <w:sz w:val="21"/>
                <w:szCs w:val="21"/>
              </w:rPr>
              <w:t>793.42</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85.75%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1</w:t>
            </w:r>
            <w:r>
              <w:rPr>
                <w:rFonts w:hint="eastAsia" w:ascii="宋体" w:hAnsi="宋体" w:eastAsia="宋体" w:cs="宋体"/>
                <w:color w:val="000000"/>
                <w:sz w:val="21"/>
                <w:szCs w:val="21"/>
              </w:rPr>
              <w:t>）财政拨款</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26</w:t>
            </w:r>
            <w:r>
              <w:rPr>
                <w:rFonts w:hint="eastAsia" w:ascii="宋体" w:hAnsi="宋体" w:eastAsia="宋体" w:cs="宋体"/>
                <w:color w:val="000000"/>
                <w:sz w:val="21"/>
                <w:szCs w:val="21"/>
              </w:rPr>
              <w:t>，</w:t>
            </w:r>
            <w:r>
              <w:rPr>
                <w:rFonts w:ascii="宋体" w:hAnsi="宋体" w:eastAsia="宋体" w:cs="宋体"/>
                <w:color w:val="000000"/>
                <w:sz w:val="21"/>
                <w:szCs w:val="21"/>
              </w:rPr>
              <w:t>983</w:t>
            </w:r>
            <w:r>
              <w:rPr>
                <w:rFonts w:hint="eastAsia" w:ascii="宋体" w:hAnsi="宋体" w:eastAsia="宋体" w:cs="宋体"/>
                <w:color w:val="000000"/>
                <w:sz w:val="21"/>
                <w:szCs w:val="21"/>
              </w:rPr>
              <w:t>，</w:t>
            </w:r>
            <w:r>
              <w:rPr>
                <w:rFonts w:ascii="宋体" w:hAnsi="宋体" w:eastAsia="宋体" w:cs="宋体"/>
                <w:color w:val="000000"/>
                <w:sz w:val="21"/>
                <w:szCs w:val="21"/>
              </w:rPr>
              <w:t>911</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w:t>
            </w:r>
            <w:r>
              <w:rPr>
                <w:rFonts w:ascii="宋体" w:hAnsi="宋体" w:eastAsia="宋体" w:cs="宋体"/>
                <w:color w:val="000000"/>
                <w:sz w:val="21"/>
                <w:szCs w:val="21"/>
              </w:rPr>
              <w:t>23</w:t>
            </w:r>
            <w:r>
              <w:rPr>
                <w:rFonts w:hint="eastAsia" w:ascii="宋体" w:hAnsi="宋体" w:eastAsia="宋体" w:cs="宋体"/>
                <w:color w:val="000000"/>
                <w:sz w:val="21"/>
                <w:szCs w:val="21"/>
              </w:rPr>
              <w:t>，</w:t>
            </w:r>
            <w:r>
              <w:rPr>
                <w:rFonts w:ascii="宋体" w:hAnsi="宋体" w:eastAsia="宋体" w:cs="宋体"/>
                <w:color w:val="000000"/>
                <w:sz w:val="21"/>
                <w:szCs w:val="21"/>
              </w:rPr>
              <w:t>139</w:t>
            </w:r>
            <w:r>
              <w:rPr>
                <w:rFonts w:hint="eastAsia" w:ascii="宋体" w:hAnsi="宋体" w:eastAsia="宋体" w:cs="宋体"/>
                <w:color w:val="000000"/>
                <w:sz w:val="21"/>
                <w:szCs w:val="21"/>
              </w:rPr>
              <w:t>，</w:t>
            </w:r>
            <w:r>
              <w:rPr>
                <w:rFonts w:ascii="宋体" w:hAnsi="宋体" w:eastAsia="宋体" w:cs="宋体"/>
                <w:color w:val="000000"/>
                <w:sz w:val="21"/>
                <w:szCs w:val="21"/>
              </w:rPr>
              <w:t>793.42</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85.75%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2</w:t>
            </w:r>
            <w:r>
              <w:rPr>
                <w:rFonts w:hint="eastAsia" w:ascii="宋体" w:hAnsi="宋体" w:eastAsia="宋体" w:cs="宋体"/>
                <w:color w:val="000000"/>
                <w:sz w:val="21"/>
                <w:szCs w:val="21"/>
              </w:rPr>
              <w:t>）其他资金</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资</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金</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结</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构</w:t>
            </w:r>
          </w:p>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合计</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26</w:t>
            </w:r>
            <w:r>
              <w:rPr>
                <w:rFonts w:hint="eastAsia" w:ascii="宋体" w:hAnsi="宋体" w:eastAsia="宋体" w:cs="宋体"/>
                <w:color w:val="000000"/>
                <w:sz w:val="21"/>
                <w:szCs w:val="21"/>
              </w:rPr>
              <w:t>，</w:t>
            </w:r>
            <w:r>
              <w:rPr>
                <w:rFonts w:ascii="宋体" w:hAnsi="宋体" w:eastAsia="宋体" w:cs="宋体"/>
                <w:color w:val="000000"/>
                <w:sz w:val="21"/>
                <w:szCs w:val="21"/>
              </w:rPr>
              <w:t>983</w:t>
            </w:r>
            <w:r>
              <w:rPr>
                <w:rFonts w:hint="eastAsia" w:ascii="宋体" w:hAnsi="宋体" w:eastAsia="宋体" w:cs="宋体"/>
                <w:color w:val="000000"/>
                <w:sz w:val="21"/>
                <w:szCs w:val="21"/>
              </w:rPr>
              <w:t>，</w:t>
            </w:r>
            <w:r>
              <w:rPr>
                <w:rFonts w:ascii="宋体" w:hAnsi="宋体" w:eastAsia="宋体" w:cs="宋体"/>
                <w:color w:val="000000"/>
                <w:sz w:val="21"/>
                <w:szCs w:val="21"/>
              </w:rPr>
              <w:t>991</w:t>
            </w:r>
            <w:r>
              <w:rPr>
                <w:rFonts w:hint="eastAsia" w:ascii="宋体" w:hAnsi="宋体" w:eastAsia="宋体" w:cs="宋体"/>
                <w:color w:val="000000"/>
                <w:sz w:val="21"/>
                <w:szCs w:val="21"/>
              </w:rPr>
              <w:t>　</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23</w:t>
            </w:r>
            <w:r>
              <w:rPr>
                <w:rFonts w:hint="eastAsia" w:ascii="宋体" w:hAnsi="宋体" w:eastAsia="宋体" w:cs="宋体"/>
                <w:color w:val="000000"/>
                <w:sz w:val="21"/>
                <w:szCs w:val="21"/>
              </w:rPr>
              <w:t>，</w:t>
            </w:r>
            <w:r>
              <w:rPr>
                <w:rFonts w:ascii="宋体" w:hAnsi="宋体" w:eastAsia="宋体" w:cs="宋体"/>
                <w:color w:val="000000"/>
                <w:sz w:val="21"/>
                <w:szCs w:val="21"/>
              </w:rPr>
              <w:t>139</w:t>
            </w:r>
            <w:r>
              <w:rPr>
                <w:rFonts w:hint="eastAsia" w:ascii="宋体" w:hAnsi="宋体" w:eastAsia="宋体" w:cs="宋体"/>
                <w:color w:val="000000"/>
                <w:sz w:val="21"/>
                <w:szCs w:val="21"/>
              </w:rPr>
              <w:t>，</w:t>
            </w:r>
            <w:r>
              <w:rPr>
                <w:rFonts w:ascii="宋体" w:hAnsi="宋体" w:eastAsia="宋体" w:cs="宋体"/>
                <w:color w:val="000000"/>
                <w:sz w:val="21"/>
                <w:szCs w:val="21"/>
              </w:rPr>
              <w:t>793.42</w:t>
            </w:r>
            <w:r>
              <w:rPr>
                <w:rFonts w:hint="eastAsia" w:ascii="宋体" w:hAnsi="宋体" w:eastAsia="宋体" w:cs="宋体"/>
                <w:color w:val="000000"/>
                <w:sz w:val="21"/>
                <w:szCs w:val="21"/>
              </w:rPr>
              <w:t>　</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85.75%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right"/>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1</w:t>
            </w:r>
            <w:r>
              <w:rPr>
                <w:rFonts w:hint="eastAsia" w:ascii="宋体" w:hAnsi="宋体" w:eastAsia="宋体" w:cs="宋体"/>
                <w:color w:val="000000"/>
                <w:sz w:val="21"/>
                <w:szCs w:val="21"/>
              </w:rPr>
              <w:t>）基本支出</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18</w:t>
            </w:r>
            <w:r>
              <w:rPr>
                <w:rFonts w:hint="eastAsia" w:ascii="宋体" w:hAnsi="宋体" w:eastAsia="宋体" w:cs="宋体"/>
                <w:color w:val="000000"/>
                <w:sz w:val="21"/>
                <w:szCs w:val="21"/>
              </w:rPr>
              <w:t>，</w:t>
            </w:r>
            <w:r>
              <w:rPr>
                <w:rFonts w:ascii="宋体" w:hAnsi="宋体" w:eastAsia="宋体" w:cs="宋体"/>
                <w:color w:val="000000"/>
                <w:sz w:val="21"/>
                <w:szCs w:val="21"/>
              </w:rPr>
              <w:t>043</w:t>
            </w:r>
            <w:r>
              <w:rPr>
                <w:rFonts w:hint="eastAsia" w:ascii="宋体" w:hAnsi="宋体" w:eastAsia="宋体" w:cs="宋体"/>
                <w:color w:val="000000"/>
                <w:sz w:val="21"/>
                <w:szCs w:val="21"/>
              </w:rPr>
              <w:t>，</w:t>
            </w:r>
            <w:r>
              <w:rPr>
                <w:rFonts w:ascii="宋体" w:hAnsi="宋体" w:eastAsia="宋体" w:cs="宋体"/>
                <w:color w:val="000000"/>
                <w:sz w:val="21"/>
                <w:szCs w:val="21"/>
              </w:rPr>
              <w:t>991</w:t>
            </w:r>
            <w:r>
              <w:rPr>
                <w:rFonts w:hint="eastAsia" w:ascii="宋体" w:hAnsi="宋体" w:eastAsia="宋体" w:cs="宋体"/>
                <w:color w:val="000000"/>
                <w:sz w:val="21"/>
                <w:szCs w:val="21"/>
              </w:rPr>
              <w:t>　</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20</w:t>
            </w:r>
            <w:r>
              <w:rPr>
                <w:rFonts w:hint="eastAsia" w:ascii="宋体" w:hAnsi="宋体" w:eastAsia="宋体" w:cs="宋体"/>
                <w:color w:val="000000"/>
                <w:sz w:val="21"/>
                <w:szCs w:val="21"/>
              </w:rPr>
              <w:t>，</w:t>
            </w:r>
            <w:r>
              <w:rPr>
                <w:rFonts w:ascii="宋体" w:hAnsi="宋体" w:eastAsia="宋体" w:cs="宋体"/>
                <w:color w:val="000000"/>
                <w:sz w:val="21"/>
                <w:szCs w:val="21"/>
              </w:rPr>
              <w:t>034</w:t>
            </w:r>
            <w:r>
              <w:rPr>
                <w:rFonts w:hint="eastAsia" w:ascii="宋体" w:hAnsi="宋体" w:eastAsia="宋体" w:cs="宋体"/>
                <w:color w:val="000000"/>
                <w:sz w:val="21"/>
                <w:szCs w:val="21"/>
              </w:rPr>
              <w:t>，</w:t>
            </w:r>
            <w:r>
              <w:rPr>
                <w:rFonts w:ascii="宋体" w:hAnsi="宋体" w:eastAsia="宋体" w:cs="宋体"/>
                <w:color w:val="000000"/>
                <w:sz w:val="21"/>
                <w:szCs w:val="21"/>
              </w:rPr>
              <w:t>144.96</w:t>
            </w:r>
            <w:r>
              <w:rPr>
                <w:rFonts w:hint="eastAsia" w:ascii="宋体" w:hAnsi="宋体" w:eastAsia="宋体" w:cs="宋体"/>
                <w:color w:val="000000"/>
                <w:sz w:val="21"/>
                <w:szCs w:val="21"/>
              </w:rPr>
              <w:t>　</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111.03%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right"/>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tabs>
                <w:tab w:val="left" w:pos="567"/>
              </w:tabs>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2</w:t>
            </w:r>
            <w:r>
              <w:rPr>
                <w:rFonts w:hint="eastAsia" w:ascii="宋体" w:hAnsi="宋体" w:eastAsia="宋体" w:cs="宋体"/>
                <w:color w:val="000000"/>
                <w:sz w:val="21"/>
                <w:szCs w:val="21"/>
              </w:rPr>
              <w:t>）项目支出</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9</w:t>
            </w:r>
            <w:r>
              <w:rPr>
                <w:rFonts w:hint="eastAsia" w:ascii="宋体" w:hAnsi="宋体" w:eastAsia="宋体" w:cs="宋体"/>
                <w:color w:val="000000"/>
                <w:sz w:val="21"/>
                <w:szCs w:val="21"/>
              </w:rPr>
              <w:t>，</w:t>
            </w:r>
            <w:r>
              <w:rPr>
                <w:rFonts w:ascii="宋体" w:hAnsi="宋体" w:eastAsia="宋体" w:cs="宋体"/>
                <w:color w:val="000000"/>
                <w:sz w:val="21"/>
                <w:szCs w:val="21"/>
              </w:rPr>
              <w:t>940</w:t>
            </w:r>
            <w:r>
              <w:rPr>
                <w:rFonts w:hint="eastAsia" w:ascii="宋体" w:hAnsi="宋体" w:eastAsia="宋体" w:cs="宋体"/>
                <w:color w:val="000000"/>
                <w:sz w:val="21"/>
                <w:szCs w:val="21"/>
              </w:rPr>
              <w:t>，</w:t>
            </w:r>
            <w:r>
              <w:rPr>
                <w:rFonts w:ascii="宋体" w:hAnsi="宋体" w:eastAsia="宋体" w:cs="宋体"/>
                <w:color w:val="000000"/>
                <w:sz w:val="21"/>
                <w:szCs w:val="21"/>
              </w:rPr>
              <w:t>000</w:t>
            </w:r>
            <w:r>
              <w:rPr>
                <w:rFonts w:hint="eastAsia" w:ascii="宋体" w:hAnsi="宋体" w:eastAsia="宋体" w:cs="宋体"/>
                <w:color w:val="000000"/>
                <w:sz w:val="21"/>
                <w:szCs w:val="21"/>
              </w:rPr>
              <w:t>　</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w:t>
            </w:r>
            <w:r>
              <w:rPr>
                <w:rFonts w:ascii="宋体" w:hAnsi="宋体" w:eastAsia="宋体" w:cs="宋体"/>
                <w:color w:val="000000"/>
                <w:sz w:val="21"/>
                <w:szCs w:val="21"/>
              </w:rPr>
              <w:t>3</w:t>
            </w:r>
            <w:r>
              <w:rPr>
                <w:rFonts w:hint="eastAsia" w:ascii="宋体" w:hAnsi="宋体" w:eastAsia="宋体" w:cs="宋体"/>
                <w:color w:val="000000"/>
                <w:sz w:val="21"/>
                <w:szCs w:val="21"/>
              </w:rPr>
              <w:t>，</w:t>
            </w:r>
            <w:r>
              <w:rPr>
                <w:rFonts w:ascii="宋体" w:hAnsi="宋体" w:eastAsia="宋体" w:cs="宋体"/>
                <w:color w:val="000000"/>
                <w:sz w:val="21"/>
                <w:szCs w:val="21"/>
              </w:rPr>
              <w:t>105</w:t>
            </w:r>
            <w:r>
              <w:rPr>
                <w:rFonts w:hint="eastAsia" w:ascii="宋体" w:hAnsi="宋体" w:eastAsia="宋体" w:cs="宋体"/>
                <w:color w:val="000000"/>
                <w:sz w:val="21"/>
                <w:szCs w:val="21"/>
              </w:rPr>
              <w:t>，</w:t>
            </w:r>
            <w:r>
              <w:rPr>
                <w:rFonts w:ascii="宋体" w:hAnsi="宋体" w:eastAsia="宋体" w:cs="宋体"/>
                <w:color w:val="000000"/>
                <w:sz w:val="21"/>
                <w:szCs w:val="21"/>
              </w:rPr>
              <w:t>648.46</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34.74%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年度总</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体目标</w:t>
            </w:r>
          </w:p>
        </w:tc>
        <w:tc>
          <w:tcPr>
            <w:tcW w:w="3983" w:type="dxa"/>
            <w:gridSpan w:val="8"/>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年初设定目标</w:t>
            </w:r>
          </w:p>
        </w:tc>
        <w:tc>
          <w:tcPr>
            <w:tcW w:w="4263" w:type="dxa"/>
            <w:gridSpan w:val="6"/>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vAlign w:val="center"/>
          </w:tcPr>
          <w:p>
            <w:pPr>
              <w:spacing w:line="250" w:lineRule="exact"/>
              <w:rPr>
                <w:rFonts w:ascii="宋体" w:hAnsi="宋体" w:eastAsia="宋体" w:cs="宋体"/>
                <w:color w:val="000000"/>
                <w:sz w:val="18"/>
                <w:szCs w:val="18"/>
              </w:rPr>
            </w:pPr>
          </w:p>
        </w:tc>
        <w:tc>
          <w:tcPr>
            <w:tcW w:w="3983" w:type="dxa"/>
            <w:gridSpan w:val="8"/>
            <w:tcMar>
              <w:top w:w="15" w:type="dxa"/>
              <w:left w:w="15" w:type="dxa"/>
              <w:bottom w:w="0" w:type="dxa"/>
              <w:right w:w="15" w:type="dxa"/>
            </w:tcMar>
            <w:vAlign w:val="center"/>
          </w:tcPr>
          <w:p>
            <w:pPr>
              <w:spacing w:line="250" w:lineRule="exact"/>
              <w:rPr>
                <w:rFonts w:ascii="宋体" w:hAnsi="宋体" w:eastAsia="宋体" w:cs="宋体"/>
                <w:color w:val="000000"/>
                <w:sz w:val="18"/>
                <w:szCs w:val="18"/>
              </w:rPr>
            </w:pPr>
            <w:r>
              <w:rPr>
                <w:rFonts w:hint="eastAsia" w:ascii="宋体" w:hAnsi="宋体" w:eastAsia="宋体" w:cs="宋体"/>
                <w:color w:val="000000"/>
                <w:sz w:val="18"/>
                <w:szCs w:val="18"/>
              </w:rPr>
              <w:t>紧紧围绕区委、区政府中心工作，充分发挥服务领导、服务基层、服务群众的办公室职能，确保区政府正常运转、高效推进工作。　</w:t>
            </w:r>
          </w:p>
        </w:tc>
        <w:tc>
          <w:tcPr>
            <w:tcW w:w="4263" w:type="dxa"/>
            <w:gridSpan w:val="6"/>
            <w:tcMar>
              <w:top w:w="15" w:type="dxa"/>
              <w:left w:w="15" w:type="dxa"/>
              <w:bottom w:w="0" w:type="dxa"/>
              <w:right w:w="15" w:type="dxa"/>
            </w:tcMar>
            <w:vAlign w:val="center"/>
          </w:tcPr>
          <w:p>
            <w:pPr>
              <w:spacing w:line="250" w:lineRule="exact"/>
              <w:rPr>
                <w:rFonts w:ascii="宋体" w:hAnsi="宋体" w:eastAsia="宋体" w:cs="宋体"/>
                <w:color w:val="000000"/>
                <w:sz w:val="18"/>
                <w:szCs w:val="18"/>
              </w:rPr>
            </w:pPr>
            <w:r>
              <w:rPr>
                <w:rFonts w:hint="eastAsia" w:ascii="宋体" w:hAnsi="宋体" w:eastAsia="宋体" w:cs="宋体"/>
                <w:color w:val="000000"/>
                <w:sz w:val="18"/>
                <w:szCs w:val="18"/>
              </w:rPr>
              <w:t>认真学习贯彻党的十九届四中全会精神，坚决落实“基层减负年”要求，团结带领全办干部职工，紧紧围绕区委、区政府中心工作，切实履行参谋助手、督促检查、综合协调等工作职责，全力整治“文山会海”，扎实开展我“</w:t>
            </w:r>
            <w:bookmarkStart w:id="0" w:name="_GoBack"/>
            <w:bookmarkEnd w:id="0"/>
            <w:r>
              <w:rPr>
                <w:rFonts w:hint="eastAsia" w:ascii="宋体" w:hAnsi="宋体" w:eastAsia="宋体" w:cs="宋体"/>
                <w:color w:val="000000"/>
                <w:sz w:val="18"/>
                <w:szCs w:val="18"/>
              </w:rPr>
              <w:t>不忘初心</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rPr>
              <w:t>牢记使命”主题教育，各项工作圆满顺利完成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343" w:type="dxa"/>
            <w:gridSpan w:val="17"/>
            <w:vAlign w:val="center"/>
          </w:tcPr>
          <w:p>
            <w:pPr>
              <w:spacing w:line="25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vAlign w:val="center"/>
          </w:tcPr>
          <w:p>
            <w:pPr>
              <w:spacing w:line="240" w:lineRule="auto"/>
              <w:jc w:val="left"/>
              <w:rPr>
                <w:rFonts w:ascii="宋体" w:hAnsi="宋体" w:eastAsia="宋体" w:cs="宋体"/>
                <w:kern w:val="0"/>
                <w:sz w:val="18"/>
                <w:szCs w:val="18"/>
              </w:rPr>
            </w:pPr>
            <w:r>
              <w:rPr>
                <w:rFonts w:hint="eastAsia" w:ascii="宋体" w:hAnsi="宋体" w:eastAsia="宋体" w:cs="宋体"/>
                <w:kern w:val="0"/>
                <w:sz w:val="18"/>
                <w:szCs w:val="18"/>
              </w:rPr>
              <w:t>一级指标</w:t>
            </w:r>
          </w:p>
        </w:tc>
        <w:tc>
          <w:tcPr>
            <w:tcW w:w="503"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0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二级</w:t>
            </w:r>
          </w:p>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50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78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三级</w:t>
            </w:r>
          </w:p>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517"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2483" w:type="dxa"/>
            <w:gridSpan w:val="4"/>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评价标准</w:t>
            </w:r>
          </w:p>
        </w:tc>
        <w:tc>
          <w:tcPr>
            <w:tcW w:w="2673" w:type="dxa"/>
            <w:gridSpan w:val="3"/>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指标说明</w:t>
            </w:r>
          </w:p>
        </w:tc>
        <w:tc>
          <w:tcPr>
            <w:tcW w:w="875"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投入</w:t>
            </w:r>
          </w:p>
        </w:tc>
        <w:tc>
          <w:tcPr>
            <w:tcW w:w="503" w:type="dxa"/>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预算配置</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在职人员控制率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以</w:t>
            </w:r>
            <w:r>
              <w:rPr>
                <w:rFonts w:ascii="宋体" w:hAnsi="宋体" w:eastAsia="宋体" w:cs="宋体"/>
                <w:kern w:val="0"/>
                <w:sz w:val="18"/>
                <w:szCs w:val="18"/>
              </w:rPr>
              <w:t>100%</w:t>
            </w:r>
            <w:r>
              <w:rPr>
                <w:rFonts w:hint="eastAsia" w:ascii="宋体" w:hAnsi="宋体" w:eastAsia="宋体" w:cs="宋体"/>
                <w:kern w:val="0"/>
                <w:sz w:val="18"/>
                <w:szCs w:val="18"/>
              </w:rPr>
              <w:t>为标准。在职人员控制率≦</w:t>
            </w:r>
            <w:r>
              <w:rPr>
                <w:rFonts w:ascii="宋体" w:hAnsi="宋体" w:eastAsia="宋体" w:cs="宋体"/>
                <w:kern w:val="0"/>
                <w:sz w:val="18"/>
                <w:szCs w:val="18"/>
              </w:rPr>
              <w:t>100%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分；每超过一个百分点扣</w:t>
            </w:r>
            <w:r>
              <w:rPr>
                <w:rFonts w:ascii="宋体" w:hAnsi="宋体" w:eastAsia="宋体" w:cs="宋体"/>
                <w:kern w:val="0"/>
                <w:sz w:val="18"/>
                <w:szCs w:val="18"/>
              </w:rPr>
              <w:t>0.5</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在职人员控制率</w:t>
            </w:r>
            <w:r>
              <w:rPr>
                <w:rFonts w:ascii="宋体" w:hAnsi="宋体" w:eastAsia="宋体" w:cs="宋体"/>
                <w:kern w:val="0"/>
                <w:sz w:val="18"/>
                <w:szCs w:val="18"/>
              </w:rPr>
              <w:t>=</w:t>
            </w:r>
            <w:r>
              <w:rPr>
                <w:rFonts w:hint="eastAsia" w:ascii="宋体" w:hAnsi="宋体" w:eastAsia="宋体" w:cs="宋体"/>
                <w:kern w:val="0"/>
                <w:sz w:val="18"/>
                <w:szCs w:val="18"/>
              </w:rPr>
              <w:t>（在职人员数</w:t>
            </w:r>
            <w:r>
              <w:rPr>
                <w:rFonts w:ascii="宋体" w:hAnsi="宋体" w:eastAsia="宋体" w:cs="宋体"/>
                <w:kern w:val="0"/>
                <w:sz w:val="18"/>
                <w:szCs w:val="18"/>
              </w:rPr>
              <w:t>/</w:t>
            </w:r>
            <w:r>
              <w:rPr>
                <w:rFonts w:hint="eastAsia" w:ascii="宋体" w:hAnsi="宋体" w:eastAsia="宋体" w:cs="宋体"/>
                <w:kern w:val="0"/>
                <w:sz w:val="18"/>
                <w:szCs w:val="18"/>
              </w:rPr>
              <w:t>编制数）×</w:t>
            </w:r>
            <w:r>
              <w:rPr>
                <w:rFonts w:ascii="宋体" w:hAnsi="宋体" w:eastAsia="宋体" w:cs="宋体"/>
                <w:kern w:val="0"/>
                <w:sz w:val="18"/>
                <w:szCs w:val="18"/>
              </w:rPr>
              <w:t>100%</w:t>
            </w:r>
            <w:r>
              <w:rPr>
                <w:rFonts w:hint="eastAsia" w:ascii="宋体" w:hAnsi="宋体" w:eastAsia="宋体" w:cs="宋体"/>
                <w:kern w:val="0"/>
                <w:sz w:val="18"/>
                <w:szCs w:val="18"/>
              </w:rPr>
              <w:t>，在职人员数：部门（单位）实际在职人数，以财政厅确定的部门决算编制口径为准。</w:t>
            </w:r>
            <w:r>
              <w:rPr>
                <w:rFonts w:ascii="宋体" w:hAnsi="宋体" w:eastAsia="宋体" w:cs="宋体"/>
                <w:kern w:val="0"/>
                <w:sz w:val="18"/>
                <w:szCs w:val="18"/>
              </w:rPr>
              <w:br w:type="textWrapping"/>
            </w:r>
            <w:r>
              <w:rPr>
                <w:rFonts w:hint="eastAsia" w:ascii="宋体" w:hAnsi="宋体" w:eastAsia="宋体" w:cs="宋体"/>
                <w:kern w:val="0"/>
                <w:sz w:val="18"/>
                <w:szCs w:val="18"/>
              </w:rPr>
              <w:t>编制数：机构编制部门核定批复的部门（单位）的人员编制数。</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“三公经费”变动率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“三公经费”变动率≦</w:t>
            </w:r>
            <w:r>
              <w:rPr>
                <w:rFonts w:ascii="宋体" w:hAnsi="宋体" w:eastAsia="宋体" w:cs="宋体"/>
                <w:kern w:val="0"/>
                <w:sz w:val="18"/>
                <w:szCs w:val="18"/>
              </w:rPr>
              <w:t>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分；“三公经费”＞</w:t>
            </w:r>
            <w:r>
              <w:rPr>
                <w:rFonts w:ascii="宋体" w:hAnsi="宋体" w:eastAsia="宋体" w:cs="宋体"/>
                <w:kern w:val="0"/>
                <w:sz w:val="18"/>
                <w:szCs w:val="18"/>
              </w:rPr>
              <w:t>0</w:t>
            </w:r>
            <w:r>
              <w:rPr>
                <w:rFonts w:hint="eastAsia" w:ascii="宋体" w:hAnsi="宋体" w:eastAsia="宋体" w:cs="宋体"/>
                <w:kern w:val="0"/>
                <w:sz w:val="18"/>
                <w:szCs w:val="18"/>
              </w:rPr>
              <w:t>，每超过一个百分点扣</w:t>
            </w:r>
            <w:r>
              <w:rPr>
                <w:rFonts w:ascii="宋体" w:hAnsi="宋体" w:eastAsia="宋体" w:cs="宋体"/>
                <w:kern w:val="0"/>
                <w:sz w:val="18"/>
                <w:szCs w:val="18"/>
              </w:rPr>
              <w:t>0.8</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“三公经费”变动率</w:t>
            </w:r>
            <w:r>
              <w:rPr>
                <w:rFonts w:ascii="宋体" w:hAnsi="宋体" w:eastAsia="宋体" w:cs="宋体"/>
                <w:kern w:val="0"/>
                <w:sz w:val="18"/>
                <w:szCs w:val="18"/>
              </w:rPr>
              <w:t>=[</w:t>
            </w:r>
            <w:r>
              <w:rPr>
                <w:rFonts w:hint="eastAsia" w:ascii="宋体" w:hAnsi="宋体" w:eastAsia="宋体" w:cs="宋体"/>
                <w:kern w:val="0"/>
                <w:sz w:val="18"/>
                <w:szCs w:val="18"/>
              </w:rPr>
              <w:t>（本年度“三公经费”预算数</w:t>
            </w:r>
            <w:r>
              <w:rPr>
                <w:rFonts w:ascii="宋体" w:hAnsi="宋体" w:eastAsia="宋体" w:cs="宋体"/>
                <w:kern w:val="0"/>
                <w:sz w:val="18"/>
                <w:szCs w:val="18"/>
              </w:rPr>
              <w:t>-</w:t>
            </w:r>
            <w:r>
              <w:rPr>
                <w:rFonts w:hint="eastAsia" w:ascii="宋体" w:hAnsi="宋体" w:eastAsia="宋体" w:cs="宋体"/>
                <w:kern w:val="0"/>
                <w:sz w:val="18"/>
                <w:szCs w:val="18"/>
              </w:rPr>
              <w:t>上年度“三公经费”预算数）</w:t>
            </w:r>
            <w:r>
              <w:rPr>
                <w:rFonts w:ascii="宋体" w:hAnsi="宋体" w:eastAsia="宋体" w:cs="宋体"/>
                <w:kern w:val="0"/>
                <w:sz w:val="18"/>
                <w:szCs w:val="18"/>
              </w:rPr>
              <w:t>/</w:t>
            </w:r>
            <w:r>
              <w:rPr>
                <w:rFonts w:hint="eastAsia" w:ascii="宋体" w:hAnsi="宋体" w:eastAsia="宋体" w:cs="宋体"/>
                <w:kern w:val="0"/>
                <w:sz w:val="18"/>
                <w:szCs w:val="18"/>
              </w:rPr>
              <w:t>上年度“三公经费”预算数</w:t>
            </w:r>
            <w:r>
              <w:rPr>
                <w:rFonts w:ascii="宋体" w:hAnsi="宋体" w:eastAsia="宋体" w:cs="宋体"/>
                <w:kern w:val="0"/>
                <w:sz w:val="18"/>
                <w:szCs w:val="18"/>
              </w:rPr>
              <w:t>]</w:t>
            </w:r>
            <w:r>
              <w:rPr>
                <w:rFonts w:hint="eastAsia" w:ascii="宋体" w:hAnsi="宋体" w:eastAsia="宋体" w:cs="宋体"/>
                <w:kern w:val="0"/>
                <w:sz w:val="18"/>
                <w:szCs w:val="18"/>
              </w:rPr>
              <w:t>×</w:t>
            </w:r>
            <w:r>
              <w:rPr>
                <w:rFonts w:ascii="宋体" w:hAnsi="宋体" w:eastAsia="宋体" w:cs="宋体"/>
                <w:kern w:val="0"/>
                <w:sz w:val="18"/>
                <w:szCs w:val="18"/>
              </w:rPr>
              <w:t>100%</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过</w:t>
            </w:r>
          </w:p>
          <w:p>
            <w:pPr>
              <w:spacing w:line="240" w:lineRule="exact"/>
              <w:jc w:val="center"/>
              <w:rPr>
                <w:rFonts w:ascii="宋体" w:hAnsi="宋体" w:eastAsia="宋体" w:cs="宋体"/>
                <w:kern w:val="0"/>
                <w:sz w:val="18"/>
                <w:szCs w:val="18"/>
              </w:rPr>
            </w:pPr>
          </w:p>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程</w:t>
            </w:r>
          </w:p>
        </w:tc>
        <w:tc>
          <w:tcPr>
            <w:tcW w:w="503" w:type="dxa"/>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60</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预算执行</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20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预算完成率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计满分，每低于</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预算完成率</w:t>
            </w:r>
            <w:r>
              <w:rPr>
                <w:rFonts w:ascii="宋体" w:hAnsi="宋体" w:eastAsia="宋体" w:cs="宋体"/>
                <w:kern w:val="0"/>
                <w:sz w:val="18"/>
                <w:szCs w:val="18"/>
              </w:rPr>
              <w:t>=</w:t>
            </w:r>
            <w:r>
              <w:rPr>
                <w:rFonts w:hint="eastAsia" w:ascii="宋体" w:hAnsi="宋体" w:eastAsia="宋体" w:cs="宋体"/>
                <w:kern w:val="0"/>
                <w:sz w:val="18"/>
                <w:szCs w:val="18"/>
              </w:rPr>
              <w:t>（上年结转</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w:t>
            </w:r>
            <w:r>
              <w:rPr>
                <w:rFonts w:hint="eastAsia" w:ascii="宋体" w:hAnsi="宋体" w:eastAsia="宋体" w:cs="宋体"/>
                <w:kern w:val="0"/>
                <w:sz w:val="18"/>
                <w:szCs w:val="18"/>
              </w:rPr>
              <w:t>年末结余）</w:t>
            </w:r>
            <w:r>
              <w:rPr>
                <w:rFonts w:ascii="宋体" w:hAnsi="宋体" w:eastAsia="宋体" w:cs="宋体"/>
                <w:kern w:val="0"/>
                <w:sz w:val="18"/>
                <w:szCs w:val="18"/>
              </w:rPr>
              <w:t>/</w:t>
            </w:r>
            <w:r>
              <w:rPr>
                <w:rFonts w:hint="eastAsia" w:ascii="宋体" w:hAnsi="宋体" w:eastAsia="宋体" w:cs="宋体"/>
                <w:kern w:val="0"/>
                <w:sz w:val="18"/>
                <w:szCs w:val="18"/>
              </w:rPr>
              <w:t>（上年结转</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预算控制率</w:t>
            </w:r>
            <w:r>
              <w:rPr>
                <w:rFonts w:ascii="宋体" w:hAnsi="宋体" w:eastAsia="宋体" w:cs="宋体"/>
                <w:kern w:val="0"/>
                <w:sz w:val="18"/>
                <w:szCs w:val="18"/>
              </w:rPr>
              <w:t>=0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w:t>
            </w:r>
            <w:r>
              <w:rPr>
                <w:rFonts w:ascii="宋体" w:hAnsi="宋体" w:eastAsia="宋体" w:cs="宋体"/>
                <w:kern w:val="0"/>
                <w:sz w:val="18"/>
                <w:szCs w:val="18"/>
              </w:rPr>
              <w:t>0-10%</w:t>
            </w:r>
            <w:r>
              <w:rPr>
                <w:rFonts w:hint="eastAsia" w:ascii="宋体" w:hAnsi="宋体" w:eastAsia="宋体" w:cs="宋体"/>
                <w:kern w:val="0"/>
                <w:sz w:val="18"/>
                <w:szCs w:val="18"/>
              </w:rPr>
              <w:t>（含），计</w:t>
            </w:r>
            <w:r>
              <w:rPr>
                <w:rFonts w:ascii="宋体" w:hAnsi="宋体" w:eastAsia="宋体" w:cs="宋体"/>
                <w:kern w:val="0"/>
                <w:sz w:val="18"/>
                <w:szCs w:val="18"/>
              </w:rPr>
              <w:t>4</w:t>
            </w:r>
            <w:r>
              <w:rPr>
                <w:rFonts w:hint="eastAsia" w:ascii="宋体" w:hAnsi="宋体" w:eastAsia="宋体" w:cs="宋体"/>
                <w:kern w:val="0"/>
                <w:sz w:val="18"/>
                <w:szCs w:val="18"/>
              </w:rPr>
              <w:t>分；</w:t>
            </w:r>
            <w:r>
              <w:rPr>
                <w:rFonts w:ascii="宋体" w:hAnsi="宋体" w:eastAsia="宋体" w:cs="宋体"/>
                <w:kern w:val="0"/>
                <w:sz w:val="18"/>
                <w:szCs w:val="18"/>
              </w:rPr>
              <w:t>10-20%</w:t>
            </w:r>
            <w:r>
              <w:rPr>
                <w:rFonts w:hint="eastAsia" w:ascii="宋体" w:hAnsi="宋体" w:eastAsia="宋体" w:cs="宋体"/>
                <w:kern w:val="0"/>
                <w:sz w:val="18"/>
                <w:szCs w:val="18"/>
              </w:rPr>
              <w:t>（含），计</w:t>
            </w:r>
            <w:r>
              <w:rPr>
                <w:rFonts w:ascii="宋体" w:hAnsi="宋体" w:eastAsia="宋体" w:cs="宋体"/>
                <w:kern w:val="0"/>
                <w:sz w:val="18"/>
                <w:szCs w:val="18"/>
              </w:rPr>
              <w:t>3</w:t>
            </w:r>
            <w:r>
              <w:rPr>
                <w:rFonts w:hint="eastAsia" w:ascii="宋体" w:hAnsi="宋体" w:eastAsia="宋体" w:cs="宋体"/>
                <w:kern w:val="0"/>
                <w:sz w:val="18"/>
                <w:szCs w:val="18"/>
              </w:rPr>
              <w:t>分；</w:t>
            </w:r>
            <w:r>
              <w:rPr>
                <w:rFonts w:ascii="宋体" w:hAnsi="宋体" w:eastAsia="宋体" w:cs="宋体"/>
                <w:kern w:val="0"/>
                <w:sz w:val="18"/>
                <w:szCs w:val="18"/>
              </w:rPr>
              <w:t>20-30%</w:t>
            </w:r>
            <w:r>
              <w:rPr>
                <w:rFonts w:hint="eastAsia" w:ascii="宋体" w:hAnsi="宋体" w:eastAsia="宋体" w:cs="宋体"/>
                <w:kern w:val="0"/>
                <w:sz w:val="18"/>
                <w:szCs w:val="18"/>
              </w:rPr>
              <w:t>（含），计</w:t>
            </w:r>
            <w:r>
              <w:rPr>
                <w:rFonts w:ascii="宋体" w:hAnsi="宋体" w:eastAsia="宋体" w:cs="宋体"/>
                <w:kern w:val="0"/>
                <w:sz w:val="18"/>
                <w:szCs w:val="18"/>
              </w:rPr>
              <w:t>2</w:t>
            </w:r>
            <w:r>
              <w:rPr>
                <w:rFonts w:hint="eastAsia" w:ascii="宋体" w:hAnsi="宋体" w:eastAsia="宋体" w:cs="宋体"/>
                <w:kern w:val="0"/>
                <w:sz w:val="18"/>
                <w:szCs w:val="18"/>
              </w:rPr>
              <w:t>分；大于</w:t>
            </w:r>
            <w:r>
              <w:rPr>
                <w:rFonts w:ascii="宋体" w:hAnsi="宋体" w:eastAsia="宋体" w:cs="宋体"/>
                <w:kern w:val="0"/>
                <w:sz w:val="18"/>
                <w:szCs w:val="18"/>
              </w:rPr>
              <w:t>30%</w:t>
            </w:r>
            <w:r>
              <w:rPr>
                <w:rFonts w:hint="eastAsia" w:ascii="宋体" w:hAnsi="宋体" w:eastAsia="宋体" w:cs="宋体"/>
                <w:kern w:val="0"/>
                <w:sz w:val="18"/>
                <w:szCs w:val="18"/>
              </w:rPr>
              <w:t>不得分。</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预算控制率</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新建楼堂馆所面积控制率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分，扣完为止。没有楼堂馆所项目的部门按满分计算。</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楼堂馆所面积控制率</w:t>
            </w:r>
            <w:r>
              <w:rPr>
                <w:rFonts w:ascii="宋体" w:hAnsi="宋体" w:eastAsia="宋体" w:cs="宋体"/>
                <w:kern w:val="0"/>
                <w:sz w:val="18"/>
                <w:szCs w:val="18"/>
              </w:rPr>
              <w:t>=</w:t>
            </w:r>
            <w:r>
              <w:rPr>
                <w:rFonts w:hint="eastAsia" w:ascii="宋体" w:hAnsi="宋体" w:eastAsia="宋体" w:cs="宋体"/>
                <w:kern w:val="0"/>
                <w:sz w:val="18"/>
                <w:szCs w:val="18"/>
              </w:rPr>
              <w:t>实际建设面积</w:t>
            </w:r>
            <w:r>
              <w:rPr>
                <w:rFonts w:ascii="宋体" w:hAnsi="宋体" w:eastAsia="宋体" w:cs="宋体"/>
                <w:kern w:val="0"/>
                <w:sz w:val="18"/>
                <w:szCs w:val="18"/>
              </w:rPr>
              <w:t>/</w:t>
            </w:r>
            <w:r>
              <w:rPr>
                <w:rFonts w:hint="eastAsia" w:ascii="宋体" w:hAnsi="宋体" w:eastAsia="宋体" w:cs="宋体"/>
                <w:kern w:val="0"/>
                <w:sz w:val="18"/>
                <w:szCs w:val="18"/>
              </w:rPr>
              <w:t>批准建设面积×</w:t>
            </w:r>
            <w:r>
              <w:rPr>
                <w:rFonts w:ascii="宋体" w:hAnsi="宋体" w:eastAsia="宋体" w:cs="宋体"/>
                <w:kern w:val="0"/>
                <w:sz w:val="18"/>
                <w:szCs w:val="18"/>
              </w:rPr>
              <w:t xml:space="preserve">100% </w:t>
            </w:r>
            <w:r>
              <w:rPr>
                <w:rFonts w:hint="eastAsia" w:ascii="宋体" w:hAnsi="宋体" w:eastAsia="宋体" w:cs="宋体"/>
                <w:kern w:val="0"/>
                <w:sz w:val="18"/>
                <w:szCs w:val="18"/>
              </w:rPr>
              <w:t>。</w:t>
            </w:r>
            <w:r>
              <w:rPr>
                <w:rFonts w:ascii="宋体" w:hAnsi="宋体" w:eastAsia="宋体" w:cs="宋体"/>
                <w:kern w:val="0"/>
                <w:sz w:val="18"/>
                <w:szCs w:val="18"/>
              </w:rPr>
              <w:br w:type="textWrapping"/>
            </w:r>
            <w:r>
              <w:rPr>
                <w:rFonts w:hint="eastAsia" w:ascii="宋体" w:hAnsi="宋体" w:eastAsia="宋体" w:cs="宋体"/>
                <w:kern w:val="0"/>
                <w:sz w:val="18"/>
                <w:szCs w:val="18"/>
              </w:rPr>
              <w:t>该指标以当年完工的新建楼堂馆所为评价内容。</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新建楼堂馆所投资概算控制率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楼堂馆所投资预算控制率</w:t>
            </w:r>
            <w:r>
              <w:rPr>
                <w:rFonts w:ascii="宋体" w:hAnsi="宋体" w:eastAsia="宋体" w:cs="宋体"/>
                <w:kern w:val="0"/>
                <w:sz w:val="18"/>
                <w:szCs w:val="18"/>
              </w:rPr>
              <w:t>=</w:t>
            </w:r>
            <w:r>
              <w:rPr>
                <w:rFonts w:hint="eastAsia" w:ascii="宋体" w:hAnsi="宋体" w:eastAsia="宋体" w:cs="宋体"/>
                <w:kern w:val="0"/>
                <w:sz w:val="18"/>
                <w:szCs w:val="18"/>
              </w:rPr>
              <w:t>实际投资金额</w:t>
            </w:r>
            <w:r>
              <w:rPr>
                <w:rFonts w:ascii="宋体" w:hAnsi="宋体" w:eastAsia="宋体" w:cs="宋体"/>
                <w:kern w:val="0"/>
                <w:sz w:val="18"/>
                <w:szCs w:val="18"/>
              </w:rPr>
              <w:t>/</w:t>
            </w:r>
            <w:r>
              <w:rPr>
                <w:rFonts w:hint="eastAsia" w:ascii="宋体" w:hAnsi="宋体" w:eastAsia="宋体" w:cs="宋体"/>
                <w:kern w:val="0"/>
                <w:sz w:val="18"/>
                <w:szCs w:val="18"/>
              </w:rPr>
              <w:t>批准投资金额×</w:t>
            </w:r>
            <w:r>
              <w:rPr>
                <w:rFonts w:ascii="宋体" w:hAnsi="宋体" w:eastAsia="宋体" w:cs="宋体"/>
                <w:kern w:val="0"/>
                <w:sz w:val="18"/>
                <w:szCs w:val="18"/>
              </w:rPr>
              <w:t xml:space="preserve">100% </w:t>
            </w:r>
            <w:r>
              <w:rPr>
                <w:rFonts w:hint="eastAsia" w:ascii="宋体" w:hAnsi="宋体" w:eastAsia="宋体" w:cs="宋体"/>
                <w:kern w:val="0"/>
                <w:sz w:val="18"/>
                <w:szCs w:val="18"/>
              </w:rPr>
              <w:t>。</w:t>
            </w:r>
            <w:r>
              <w:rPr>
                <w:rFonts w:ascii="宋体" w:hAnsi="宋体" w:eastAsia="宋体" w:cs="宋体"/>
                <w:kern w:val="0"/>
                <w:sz w:val="18"/>
                <w:szCs w:val="18"/>
              </w:rPr>
              <w:br w:type="textWrapping"/>
            </w:r>
            <w:r>
              <w:rPr>
                <w:rFonts w:hint="eastAsia" w:ascii="宋体" w:hAnsi="宋体" w:eastAsia="宋体" w:cs="宋体"/>
                <w:kern w:val="0"/>
                <w:sz w:val="18"/>
                <w:szCs w:val="18"/>
              </w:rPr>
              <w:t>该指标以当年完工的新建楼堂馆所为评价内容。</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预算管理</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40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公用经费控制率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1%</w:t>
            </w:r>
            <w:r>
              <w:rPr>
                <w:rFonts w:hint="eastAsia" w:ascii="宋体" w:hAnsi="宋体" w:eastAsia="宋体" w:cs="宋体"/>
                <w:kern w:val="0"/>
                <w:sz w:val="18"/>
                <w:szCs w:val="18"/>
              </w:rPr>
              <w:t>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公用经费控制率</w:t>
            </w:r>
            <w:r>
              <w:rPr>
                <w:rFonts w:ascii="宋体" w:hAnsi="宋体" w:eastAsia="宋体" w:cs="宋体"/>
                <w:kern w:val="0"/>
                <w:sz w:val="18"/>
                <w:szCs w:val="18"/>
              </w:rPr>
              <w:t>=</w:t>
            </w:r>
            <w:r>
              <w:rPr>
                <w:rFonts w:hint="eastAsia" w:ascii="宋体" w:hAnsi="宋体" w:eastAsia="宋体" w:cs="宋体"/>
                <w:kern w:val="0"/>
                <w:sz w:val="18"/>
                <w:szCs w:val="18"/>
              </w:rPr>
              <w:t>（实际支出公用经费总额</w:t>
            </w:r>
            <w:r>
              <w:rPr>
                <w:rFonts w:ascii="宋体" w:hAnsi="宋体" w:eastAsia="宋体" w:cs="宋体"/>
                <w:kern w:val="0"/>
                <w:sz w:val="18"/>
                <w:szCs w:val="18"/>
              </w:rPr>
              <w:t>/</w:t>
            </w:r>
            <w:r>
              <w:rPr>
                <w:rFonts w:hint="eastAsia" w:ascii="宋体" w:hAnsi="宋体" w:eastAsia="宋体" w:cs="宋体"/>
                <w:kern w:val="0"/>
                <w:sz w:val="18"/>
                <w:szCs w:val="18"/>
              </w:rPr>
              <w:t>预算安排公用经费总额）×</w:t>
            </w:r>
            <w:r>
              <w:rPr>
                <w:rFonts w:ascii="宋体" w:hAnsi="宋体" w:eastAsia="宋体" w:cs="宋体"/>
                <w:kern w:val="0"/>
                <w:sz w:val="18"/>
                <w:szCs w:val="18"/>
              </w:rPr>
              <w:t>100%</w:t>
            </w:r>
            <w:r>
              <w:rPr>
                <w:rFonts w:hint="eastAsia" w:ascii="宋体" w:hAnsi="宋体" w:eastAsia="宋体" w:cs="宋体"/>
                <w:kern w:val="0"/>
                <w:sz w:val="18"/>
                <w:szCs w:val="18"/>
              </w:rPr>
              <w:t>。</w:t>
            </w:r>
            <w:r>
              <w:rPr>
                <w:rFonts w:ascii="宋体" w:hAnsi="宋体" w:eastAsia="宋体" w:cs="宋体"/>
                <w:kern w:val="0"/>
                <w:sz w:val="18"/>
                <w:szCs w:val="18"/>
              </w:rPr>
              <w:br w:type="textWrapping"/>
            </w:r>
            <w:r>
              <w:rPr>
                <w:rFonts w:hint="eastAsia" w:ascii="宋体" w:hAnsi="宋体" w:eastAsia="宋体" w:cs="宋体"/>
                <w:kern w:val="0"/>
                <w:sz w:val="18"/>
                <w:szCs w:val="18"/>
              </w:rPr>
              <w:t>公用经费支出是指部门基本支出中的一般商品和服务支出。</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7</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1%</w:t>
            </w:r>
            <w:r>
              <w:rPr>
                <w:rFonts w:hint="eastAsia" w:ascii="宋体" w:hAnsi="宋体" w:eastAsia="宋体" w:cs="宋体"/>
                <w:kern w:val="0"/>
                <w:sz w:val="18"/>
                <w:szCs w:val="18"/>
              </w:rPr>
              <w:t>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“三公经费”控制率</w:t>
            </w:r>
            <w:r>
              <w:rPr>
                <w:rFonts w:ascii="宋体" w:hAnsi="宋体" w:eastAsia="宋体" w:cs="宋体"/>
                <w:kern w:val="0"/>
                <w:sz w:val="18"/>
                <w:szCs w:val="18"/>
              </w:rPr>
              <w:t>=</w:t>
            </w:r>
            <w:r>
              <w:rPr>
                <w:rFonts w:hint="eastAsia" w:ascii="宋体" w:hAnsi="宋体" w:eastAsia="宋体" w:cs="宋体"/>
                <w:kern w:val="0"/>
                <w:sz w:val="18"/>
                <w:szCs w:val="18"/>
              </w:rPr>
              <w:t>（“三公经费”实际支出数</w:t>
            </w:r>
            <w:r>
              <w:rPr>
                <w:rFonts w:ascii="宋体" w:hAnsi="宋体" w:eastAsia="宋体" w:cs="宋体"/>
                <w:kern w:val="0"/>
                <w:sz w:val="18"/>
                <w:szCs w:val="18"/>
              </w:rPr>
              <w:t>/</w:t>
            </w:r>
            <w:r>
              <w:rPr>
                <w:rFonts w:hint="eastAsia" w:ascii="宋体" w:hAnsi="宋体" w:eastAsia="宋体" w:cs="宋体"/>
                <w:kern w:val="0"/>
                <w:sz w:val="18"/>
                <w:szCs w:val="18"/>
              </w:rPr>
              <w:t>“三公经费”预算安排数）×</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政府采购执行率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计满分，每超过（降低）</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政府采购执行率</w:t>
            </w:r>
            <w:r>
              <w:rPr>
                <w:rFonts w:ascii="宋体" w:hAnsi="宋体" w:eastAsia="宋体" w:cs="宋体"/>
                <w:kern w:val="0"/>
                <w:sz w:val="18"/>
                <w:szCs w:val="18"/>
              </w:rPr>
              <w:t>=</w:t>
            </w:r>
            <w:r>
              <w:rPr>
                <w:rFonts w:hint="eastAsia" w:ascii="宋体" w:hAnsi="宋体" w:eastAsia="宋体" w:cs="宋体"/>
                <w:kern w:val="0"/>
                <w:sz w:val="18"/>
                <w:szCs w:val="18"/>
              </w:rPr>
              <w:t>（实际政府采购金额</w:t>
            </w:r>
            <w:r>
              <w:rPr>
                <w:rFonts w:ascii="宋体" w:hAnsi="宋体" w:eastAsia="宋体" w:cs="宋体"/>
                <w:kern w:val="0"/>
                <w:sz w:val="18"/>
                <w:szCs w:val="18"/>
              </w:rPr>
              <w:t>/</w:t>
            </w:r>
            <w:r>
              <w:rPr>
                <w:rFonts w:hint="eastAsia" w:ascii="宋体" w:hAnsi="宋体" w:eastAsia="宋体" w:cs="宋体"/>
                <w:kern w:val="0"/>
                <w:sz w:val="18"/>
                <w:szCs w:val="18"/>
              </w:rPr>
              <w:t>政府采购预算数）×</w:t>
            </w:r>
            <w:r>
              <w:rPr>
                <w:rFonts w:ascii="宋体" w:hAnsi="宋体" w:eastAsia="宋体" w:cs="宋体"/>
                <w:kern w:val="0"/>
                <w:sz w:val="18"/>
                <w:szCs w:val="18"/>
              </w:rPr>
              <w:t>100%</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kern w:val="0"/>
                <w:sz w:val="18"/>
                <w:szCs w:val="18"/>
              </w:rPr>
              <w:t>0</w:t>
            </w:r>
            <w:r>
              <w:rPr>
                <w:rFonts w:hint="eastAsia" w:ascii="宋体" w:hAnsi="宋体" w:eastAsia="宋体" w:cs="宋体"/>
                <w:kern w:val="0"/>
                <w:sz w:val="18"/>
                <w:szCs w:val="18"/>
              </w:rPr>
              <w:t>　</w:t>
            </w:r>
            <w:r>
              <w:rPr>
                <w:rFonts w:ascii="宋体" w:hAnsi="宋体" w:eastAsia="宋体" w:cs="宋体"/>
                <w:kern w:val="0"/>
                <w:sz w:val="18"/>
                <w:szCs w:val="18"/>
                <w:shd w:val="clear" w:color="auto" w:fill="FFFFFF"/>
              </w:rPr>
              <w:fldChar w:fldCharType="begin">
                <w:fldData xml:space="preserve">QQAyADgAOAA0ADIANgBBAEUANwBDADYANABEADMARABCADQAQgA1ADEAQgAzAEIAQgBBAEIARAAy
ADcARQAzAP8A
</w:fldData>
              </w:fldChar>
            </w:r>
            <w:r>
              <w:rPr>
                <w:rFonts w:ascii="宋体" w:hAnsi="宋体" w:eastAsia="宋体" w:cs="宋体"/>
                <w:kern w:val="0"/>
                <w:sz w:val="18"/>
                <w:szCs w:val="18"/>
                <w:shd w:val="clear" w:color="auto" w:fill="FFFFFF"/>
              </w:rPr>
              <w:instrText xml:space="preserve">Addin PF9</w:instrText>
            </w:r>
            <w:r>
              <w:rPr>
                <w:rFonts w:ascii="宋体" w:hAnsi="宋体" w:eastAsia="宋体" w:cs="宋体"/>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vAlign w:val="center"/>
          </w:tcPr>
          <w:p>
            <w:pPr>
              <w:spacing w:line="280" w:lineRule="exact"/>
              <w:jc w:val="center"/>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管理制度健全性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60" w:lineRule="exact"/>
              <w:jc w:val="left"/>
              <w:rPr>
                <w:rFonts w:ascii="宋体" w:hAnsi="宋体" w:eastAsia="宋体" w:cs="宋体"/>
                <w:kern w:val="0"/>
                <w:sz w:val="18"/>
                <w:szCs w:val="18"/>
              </w:rPr>
            </w:pPr>
            <w:r>
              <w:rPr>
                <w:rFonts w:hint="eastAsia" w:ascii="宋体" w:hAnsi="宋体" w:eastAsia="宋体" w:cs="宋体"/>
                <w:kern w:val="0"/>
                <w:sz w:val="18"/>
                <w:szCs w:val="18"/>
              </w:rPr>
              <w:t>①有内部财务管理制度、会计核算制度等管理制度，</w:t>
            </w:r>
            <w:r>
              <w:rPr>
                <w:rFonts w:ascii="宋体" w:hAnsi="宋体" w:eastAsia="宋体" w:cs="宋体"/>
                <w:kern w:val="0"/>
                <w:sz w:val="18"/>
                <w:szCs w:val="18"/>
              </w:rPr>
              <w:t>2</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hint="eastAsia" w:ascii="宋体" w:hAnsi="宋体" w:eastAsia="宋体" w:cs="宋体"/>
                <w:kern w:val="0"/>
                <w:sz w:val="18"/>
                <w:szCs w:val="18"/>
              </w:rPr>
              <w:t>②有本部门厉行节约制度</w:t>
            </w:r>
            <w:r>
              <w:rPr>
                <w:rFonts w:ascii="宋体" w:hAnsi="宋体" w:eastAsia="宋体" w:cs="宋体"/>
                <w:kern w:val="0"/>
                <w:sz w:val="18"/>
                <w:szCs w:val="18"/>
              </w:rPr>
              <w:t>,2</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hint="eastAsia" w:ascii="宋体" w:hAnsi="宋体" w:eastAsia="宋体" w:cs="宋体"/>
                <w:kern w:val="0"/>
                <w:sz w:val="18"/>
                <w:szCs w:val="18"/>
              </w:rPr>
              <w:t>③相关管理制度合法、合规、完整，</w:t>
            </w:r>
            <w:r>
              <w:rPr>
                <w:rFonts w:ascii="宋体" w:hAnsi="宋体" w:eastAsia="宋体" w:cs="宋体"/>
                <w:kern w:val="0"/>
                <w:sz w:val="18"/>
                <w:szCs w:val="18"/>
              </w:rPr>
              <w:t>2</w:t>
            </w:r>
            <w:r>
              <w:rPr>
                <w:rFonts w:hint="eastAsia" w:ascii="宋体" w:hAnsi="宋体" w:eastAsia="宋体" w:cs="宋体"/>
                <w:kern w:val="0"/>
                <w:sz w:val="18"/>
                <w:szCs w:val="18"/>
              </w:rPr>
              <w:t>分；④相关管理制度得到有效执行，</w:t>
            </w:r>
            <w:r>
              <w:rPr>
                <w:rFonts w:ascii="宋体" w:hAnsi="宋体" w:eastAsia="宋体" w:cs="宋体"/>
                <w:kern w:val="0"/>
                <w:sz w:val="18"/>
                <w:szCs w:val="18"/>
              </w:rPr>
              <w:t>2</w:t>
            </w:r>
            <w:r>
              <w:rPr>
                <w:rFonts w:hint="eastAsia" w:ascii="宋体" w:hAnsi="宋体" w:eastAsia="宋体" w:cs="宋体"/>
                <w:kern w:val="0"/>
                <w:sz w:val="18"/>
                <w:szCs w:val="18"/>
              </w:rPr>
              <w:t>分。</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　</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过</w:t>
            </w:r>
          </w:p>
          <w:p>
            <w:pPr>
              <w:spacing w:line="240" w:lineRule="exact"/>
              <w:jc w:val="center"/>
              <w:rPr>
                <w:rFonts w:ascii="宋体" w:hAnsi="宋体" w:eastAsia="宋体" w:cs="宋体"/>
                <w:kern w:val="0"/>
                <w:sz w:val="18"/>
                <w:szCs w:val="18"/>
              </w:rPr>
            </w:pP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程</w:t>
            </w:r>
          </w:p>
        </w:tc>
        <w:tc>
          <w:tcPr>
            <w:tcW w:w="503"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60</w:t>
            </w:r>
          </w:p>
        </w:tc>
        <w:tc>
          <w:tcPr>
            <w:tcW w:w="503" w:type="dxa"/>
            <w:gridSpan w:val="2"/>
            <w:vMerge w:val="restart"/>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预算管理</w:t>
            </w: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40</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资金使用合规性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60" w:lineRule="exact"/>
              <w:jc w:val="left"/>
              <w:rPr>
                <w:rFonts w:ascii="宋体" w:hAnsi="宋体" w:eastAsia="宋体" w:cs="宋体"/>
                <w:kern w:val="0"/>
                <w:sz w:val="18"/>
                <w:szCs w:val="18"/>
              </w:rPr>
            </w:pPr>
            <w:r>
              <w:rPr>
                <w:rFonts w:hint="eastAsia" w:ascii="宋体" w:hAnsi="宋体" w:eastAsia="宋体" w:cs="宋体"/>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宋体" w:hAnsi="宋体" w:eastAsia="宋体" w:cs="宋体"/>
                <w:kern w:val="0"/>
                <w:sz w:val="18"/>
                <w:szCs w:val="18"/>
              </w:rPr>
              <w:br w:type="textWrapping"/>
            </w:r>
            <w:r>
              <w:rPr>
                <w:rFonts w:hint="eastAsia" w:ascii="宋体" w:hAnsi="宋体" w:eastAsia="宋体" w:cs="宋体"/>
                <w:kern w:val="0"/>
                <w:sz w:val="18"/>
                <w:szCs w:val="18"/>
              </w:rPr>
              <w:t>以上情况每出现一例不符合要求的扣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　</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预决算信息公开性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60" w:lineRule="exact"/>
              <w:jc w:val="left"/>
              <w:rPr>
                <w:rFonts w:ascii="宋体" w:hAnsi="宋体" w:eastAsia="宋体" w:cs="宋体"/>
                <w:kern w:val="0"/>
                <w:sz w:val="18"/>
                <w:szCs w:val="18"/>
              </w:rPr>
            </w:pPr>
            <w:r>
              <w:rPr>
                <w:rFonts w:hint="eastAsia" w:ascii="宋体" w:hAnsi="宋体" w:eastAsia="宋体" w:cs="宋体"/>
                <w:kern w:val="0"/>
                <w:sz w:val="18"/>
                <w:szCs w:val="18"/>
              </w:rPr>
              <w:t>①按规定内容公开预决算信息，</w:t>
            </w:r>
            <w:r>
              <w:rPr>
                <w:rFonts w:ascii="宋体" w:hAnsi="宋体" w:eastAsia="宋体" w:cs="宋体"/>
                <w:kern w:val="0"/>
                <w:sz w:val="18"/>
                <w:szCs w:val="18"/>
              </w:rPr>
              <w:t>1</w:t>
            </w:r>
            <w:r>
              <w:rPr>
                <w:rFonts w:hint="eastAsia" w:ascii="宋体" w:hAnsi="宋体" w:eastAsia="宋体" w:cs="宋体"/>
                <w:kern w:val="0"/>
                <w:sz w:val="18"/>
                <w:szCs w:val="18"/>
              </w:rPr>
              <w:t>分；②按规定时限公开预决算信息，</w:t>
            </w:r>
            <w:r>
              <w:rPr>
                <w:rFonts w:ascii="宋体" w:hAnsi="宋体" w:eastAsia="宋体" w:cs="宋体"/>
                <w:kern w:val="0"/>
                <w:sz w:val="18"/>
                <w:szCs w:val="18"/>
              </w:rPr>
              <w:t>1</w:t>
            </w:r>
            <w:r>
              <w:rPr>
                <w:rFonts w:hint="eastAsia" w:ascii="宋体" w:hAnsi="宋体" w:eastAsia="宋体" w:cs="宋体"/>
                <w:kern w:val="0"/>
                <w:sz w:val="18"/>
                <w:szCs w:val="18"/>
              </w:rPr>
              <w:t>分；③基础数据信息和会计信息资料真实，</w:t>
            </w:r>
            <w:r>
              <w:rPr>
                <w:rFonts w:ascii="宋体" w:hAnsi="宋体" w:eastAsia="宋体" w:cs="宋体"/>
                <w:kern w:val="0"/>
                <w:sz w:val="18"/>
                <w:szCs w:val="18"/>
              </w:rPr>
              <w:t>1</w:t>
            </w:r>
            <w:r>
              <w:rPr>
                <w:rFonts w:hint="eastAsia" w:ascii="宋体" w:hAnsi="宋体" w:eastAsia="宋体" w:cs="宋体"/>
                <w:kern w:val="0"/>
                <w:sz w:val="18"/>
                <w:szCs w:val="18"/>
              </w:rPr>
              <w:t>分；④基础数据信息和会计信息资料完整，</w:t>
            </w:r>
            <w:r>
              <w:rPr>
                <w:rFonts w:ascii="宋体" w:hAnsi="宋体" w:eastAsia="宋体" w:cs="宋体"/>
                <w:kern w:val="0"/>
                <w:sz w:val="18"/>
                <w:szCs w:val="18"/>
              </w:rPr>
              <w:t>1</w:t>
            </w:r>
            <w:r>
              <w:rPr>
                <w:rFonts w:hint="eastAsia" w:ascii="宋体" w:hAnsi="宋体" w:eastAsia="宋体" w:cs="宋体"/>
                <w:kern w:val="0"/>
                <w:sz w:val="18"/>
                <w:szCs w:val="18"/>
              </w:rPr>
              <w:t>分；⑤基础数据信息和汇集信息资料准确，</w:t>
            </w:r>
            <w:r>
              <w:rPr>
                <w:rFonts w:ascii="宋体" w:hAnsi="宋体" w:eastAsia="宋体" w:cs="宋体"/>
                <w:kern w:val="0"/>
                <w:sz w:val="18"/>
                <w:szCs w:val="18"/>
              </w:rPr>
              <w:t>1</w:t>
            </w:r>
            <w:r>
              <w:rPr>
                <w:rFonts w:hint="eastAsia" w:ascii="宋体" w:hAnsi="宋体" w:eastAsia="宋体" w:cs="宋体"/>
                <w:kern w:val="0"/>
                <w:sz w:val="18"/>
                <w:szCs w:val="18"/>
              </w:rPr>
              <w:t>分。</w:t>
            </w:r>
            <w:r>
              <w:rPr>
                <w:rFonts w:ascii="宋体" w:hAnsi="宋体" w:eastAsia="宋体" w:cs="宋体"/>
                <w:kern w:val="0"/>
                <w:sz w:val="18"/>
                <w:szCs w:val="18"/>
              </w:rPr>
              <w:t xml:space="preserve">  </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预决算信息是指与部门预算、执行、决算、监督、绩效等管理相关的信息。</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产出及效率</w:t>
            </w:r>
          </w:p>
        </w:tc>
        <w:tc>
          <w:tcPr>
            <w:tcW w:w="503"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30</w:t>
            </w:r>
          </w:p>
        </w:tc>
        <w:tc>
          <w:tcPr>
            <w:tcW w:w="50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职责履行</w:t>
            </w:r>
          </w:p>
        </w:tc>
        <w:tc>
          <w:tcPr>
            <w:tcW w:w="503" w:type="dxa"/>
            <w:gridSpan w:val="2"/>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重点工作实际完成率</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根据履职情况，结合绩效目标和项目性质，对重点工作计划完成、产出质量、产出时效和有关成本控制情况评价，实现</w:t>
            </w:r>
            <w:r>
              <w:rPr>
                <w:rFonts w:ascii="宋体" w:hAnsi="宋体" w:eastAsia="宋体" w:cs="宋体"/>
                <w:kern w:val="0"/>
                <w:sz w:val="18"/>
                <w:szCs w:val="18"/>
              </w:rPr>
              <w:t>70%</w:t>
            </w:r>
            <w:r>
              <w:rPr>
                <w:rFonts w:hint="eastAsia" w:ascii="宋体" w:hAnsi="宋体" w:eastAsia="宋体" w:cs="宋体"/>
                <w:kern w:val="0"/>
                <w:sz w:val="18"/>
                <w:szCs w:val="18"/>
              </w:rPr>
              <w:t>以上得</w:t>
            </w:r>
            <w:r>
              <w:rPr>
                <w:rFonts w:ascii="宋体" w:hAnsi="宋体" w:eastAsia="宋体" w:cs="宋体"/>
                <w:kern w:val="0"/>
                <w:sz w:val="18"/>
                <w:szCs w:val="18"/>
              </w:rPr>
              <w:t>4</w:t>
            </w:r>
            <w:r>
              <w:rPr>
                <w:rFonts w:hint="eastAsia" w:ascii="宋体" w:hAnsi="宋体" w:eastAsia="宋体" w:cs="宋体"/>
                <w:kern w:val="0"/>
                <w:sz w:val="18"/>
                <w:szCs w:val="18"/>
              </w:rPr>
              <w:t>分，</w:t>
            </w:r>
            <w:r>
              <w:rPr>
                <w:rFonts w:ascii="宋体" w:hAnsi="宋体" w:eastAsia="宋体" w:cs="宋体"/>
                <w:kern w:val="0"/>
                <w:sz w:val="18"/>
                <w:szCs w:val="18"/>
              </w:rPr>
              <w:t>70%</w:t>
            </w:r>
            <w:r>
              <w:rPr>
                <w:rFonts w:hint="eastAsia" w:ascii="宋体" w:hAnsi="宋体" w:eastAsia="宋体" w:cs="宋体"/>
                <w:kern w:val="0"/>
                <w:sz w:val="18"/>
                <w:szCs w:val="18"/>
              </w:rPr>
              <w:t>以下不得分。</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　</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履职</w:t>
            </w:r>
            <w:r>
              <w:rPr>
                <w:rFonts w:ascii="宋体" w:hAnsi="宋体" w:eastAsia="宋体" w:cs="宋体"/>
                <w:kern w:val="0"/>
                <w:sz w:val="18"/>
                <w:szCs w:val="18"/>
              </w:rPr>
              <w:t xml:space="preserve"> </w:t>
            </w:r>
            <w:r>
              <w:rPr>
                <w:rFonts w:hint="eastAsia" w:ascii="宋体" w:hAnsi="宋体" w:eastAsia="宋体" w:cs="宋体"/>
                <w:kern w:val="0"/>
                <w:sz w:val="18"/>
                <w:szCs w:val="18"/>
              </w:rPr>
              <w:t>效益</w:t>
            </w: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经济</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效益</w:t>
            </w:r>
          </w:p>
        </w:tc>
        <w:tc>
          <w:tcPr>
            <w:tcW w:w="517"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2483" w:type="dxa"/>
            <w:gridSpan w:val="4"/>
            <w:vMerge w:val="restart"/>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vAlign w:val="center"/>
          </w:tcPr>
          <w:p>
            <w:pPr>
              <w:spacing w:line="280" w:lineRule="exact"/>
              <w:jc w:val="left"/>
              <w:rPr>
                <w:rFonts w:ascii="宋体" w:hAnsi="宋体" w:eastAsia="宋体" w:cs="宋体"/>
                <w:color w:val="000000"/>
                <w:kern w:val="0"/>
                <w:sz w:val="18"/>
                <w:szCs w:val="18"/>
              </w:rPr>
            </w:pPr>
          </w:p>
        </w:tc>
        <w:tc>
          <w:tcPr>
            <w:tcW w:w="875" w:type="dxa"/>
            <w:vMerge w:val="restart"/>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社会</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效益</w:t>
            </w:r>
          </w:p>
        </w:tc>
        <w:tc>
          <w:tcPr>
            <w:tcW w:w="517" w:type="dxa"/>
            <w:vMerge w:val="continue"/>
            <w:vAlign w:val="center"/>
          </w:tcPr>
          <w:p>
            <w:pPr>
              <w:spacing w:line="280" w:lineRule="exact"/>
              <w:jc w:val="left"/>
              <w:rPr>
                <w:rFonts w:ascii="宋体" w:hAnsi="宋体" w:eastAsia="宋体" w:cs="宋体"/>
                <w:kern w:val="0"/>
                <w:sz w:val="18"/>
                <w:szCs w:val="18"/>
              </w:rPr>
            </w:pPr>
          </w:p>
        </w:tc>
        <w:tc>
          <w:tcPr>
            <w:tcW w:w="2483" w:type="dxa"/>
            <w:gridSpan w:val="4"/>
            <w:vMerge w:val="continue"/>
            <w:vAlign w:val="center"/>
          </w:tcPr>
          <w:p>
            <w:pPr>
              <w:spacing w:line="280" w:lineRule="exact"/>
              <w:jc w:val="left"/>
              <w:rPr>
                <w:rFonts w:ascii="宋体" w:hAnsi="宋体" w:eastAsia="宋体" w:cs="宋体"/>
                <w:kern w:val="0"/>
                <w:sz w:val="18"/>
                <w:szCs w:val="18"/>
              </w:rPr>
            </w:pPr>
          </w:p>
        </w:tc>
        <w:tc>
          <w:tcPr>
            <w:tcW w:w="2673" w:type="dxa"/>
            <w:gridSpan w:val="3"/>
            <w:vMerge w:val="continue"/>
            <w:vAlign w:val="center"/>
          </w:tcPr>
          <w:p>
            <w:pPr>
              <w:spacing w:line="280" w:lineRule="exact"/>
              <w:jc w:val="left"/>
              <w:rPr>
                <w:rFonts w:ascii="宋体" w:hAnsi="宋体" w:eastAsia="宋体" w:cs="宋体"/>
                <w:kern w:val="0"/>
                <w:sz w:val="18"/>
                <w:szCs w:val="18"/>
              </w:rPr>
            </w:pPr>
          </w:p>
        </w:tc>
        <w:tc>
          <w:tcPr>
            <w:tcW w:w="875" w:type="dxa"/>
            <w:vMerge w:val="continue"/>
            <w:vAlign w:val="center"/>
          </w:tcPr>
          <w:p>
            <w:pPr>
              <w:spacing w:line="280" w:lineRule="exact"/>
              <w:jc w:val="center"/>
              <w:rPr>
                <w:rFonts w:ascii="宋体" w:hAnsi="宋体" w:eastAsia="宋体" w:cs="宋体"/>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12</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行政</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效能</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促进部门改进文风会风，加强经费及资产管理，推动网上办事，提高行政效率，降低行政成本效果较好的计</w:t>
            </w:r>
            <w:r>
              <w:rPr>
                <w:rFonts w:ascii="宋体" w:hAnsi="宋体" w:eastAsia="宋体" w:cs="宋体"/>
                <w:kern w:val="0"/>
                <w:sz w:val="18"/>
                <w:szCs w:val="18"/>
              </w:rPr>
              <w:t>6</w:t>
            </w:r>
            <w:r>
              <w:rPr>
                <w:rFonts w:hint="eastAsia" w:ascii="宋体" w:hAnsi="宋体" w:eastAsia="宋体" w:cs="宋体"/>
                <w:kern w:val="0"/>
                <w:sz w:val="18"/>
                <w:szCs w:val="18"/>
              </w:rPr>
              <w:t>分；一般</w:t>
            </w:r>
            <w:r>
              <w:rPr>
                <w:rFonts w:ascii="宋体" w:hAnsi="宋体" w:eastAsia="宋体" w:cs="宋体"/>
                <w:kern w:val="0"/>
                <w:sz w:val="18"/>
                <w:szCs w:val="18"/>
              </w:rPr>
              <w:t>3</w:t>
            </w:r>
            <w:r>
              <w:rPr>
                <w:rFonts w:hint="eastAsia" w:ascii="宋体" w:hAnsi="宋体" w:eastAsia="宋体" w:cs="宋体"/>
                <w:kern w:val="0"/>
                <w:sz w:val="18"/>
                <w:szCs w:val="18"/>
              </w:rPr>
              <w:t>分；无效果或者效果不明显</w:t>
            </w:r>
            <w:r>
              <w:rPr>
                <w:rFonts w:ascii="宋体" w:hAnsi="宋体" w:eastAsia="宋体" w:cs="宋体"/>
                <w:kern w:val="0"/>
                <w:sz w:val="18"/>
                <w:szCs w:val="18"/>
              </w:rPr>
              <w:t>0</w:t>
            </w:r>
            <w:r>
              <w:rPr>
                <w:rFonts w:hint="eastAsia" w:ascii="宋体" w:hAnsi="宋体" w:eastAsia="宋体" w:cs="宋体"/>
                <w:kern w:val="0"/>
                <w:sz w:val="18"/>
                <w:szCs w:val="18"/>
              </w:rPr>
              <w:t>分。</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根据部门自评材料评定。</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社会公众或服务对象满意度</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80" w:lineRule="exact"/>
              <w:jc w:val="left"/>
              <w:rPr>
                <w:rFonts w:ascii="宋体" w:hAnsi="宋体" w:eastAsia="宋体" w:cs="宋体"/>
                <w:kern w:val="0"/>
                <w:sz w:val="18"/>
                <w:szCs w:val="18"/>
              </w:rPr>
            </w:pPr>
            <w:r>
              <w:rPr>
                <w:rFonts w:ascii="宋体" w:hAnsi="宋体" w:eastAsia="宋体" w:cs="宋体"/>
                <w:kern w:val="0"/>
                <w:sz w:val="18"/>
                <w:szCs w:val="18"/>
              </w:rPr>
              <w:t>90%</w:t>
            </w:r>
            <w:r>
              <w:rPr>
                <w:rFonts w:hint="eastAsia" w:ascii="宋体" w:hAnsi="宋体" w:eastAsia="宋体" w:cs="宋体"/>
                <w:kern w:val="0"/>
                <w:sz w:val="18"/>
                <w:szCs w:val="18"/>
              </w:rPr>
              <w:t>（含）以上计</w:t>
            </w:r>
            <w:r>
              <w:rPr>
                <w:rFonts w:ascii="宋体" w:hAnsi="宋体" w:eastAsia="宋体" w:cs="宋体"/>
                <w:kern w:val="0"/>
                <w:sz w:val="18"/>
                <w:szCs w:val="18"/>
              </w:rPr>
              <w:t>6</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ascii="宋体" w:hAnsi="宋体" w:eastAsia="宋体" w:cs="宋体"/>
                <w:kern w:val="0"/>
                <w:sz w:val="18"/>
                <w:szCs w:val="18"/>
              </w:rPr>
              <w:t>80%</w:t>
            </w:r>
            <w:r>
              <w:rPr>
                <w:rFonts w:hint="eastAsia" w:ascii="宋体" w:hAnsi="宋体" w:eastAsia="宋体" w:cs="宋体"/>
                <w:kern w:val="0"/>
                <w:sz w:val="18"/>
                <w:szCs w:val="18"/>
              </w:rPr>
              <w:t>（含）</w:t>
            </w:r>
            <w:r>
              <w:rPr>
                <w:rFonts w:ascii="宋体" w:hAnsi="宋体" w:eastAsia="宋体" w:cs="宋体"/>
                <w:kern w:val="0"/>
                <w:sz w:val="18"/>
                <w:szCs w:val="18"/>
              </w:rPr>
              <w:t>-90%</w:t>
            </w:r>
            <w:r>
              <w:rPr>
                <w:rFonts w:hint="eastAsia" w:ascii="宋体" w:hAnsi="宋体" w:eastAsia="宋体" w:cs="宋体"/>
                <w:kern w:val="0"/>
                <w:sz w:val="18"/>
                <w:szCs w:val="18"/>
              </w:rPr>
              <w:t>，计</w:t>
            </w:r>
            <w:r>
              <w:rPr>
                <w:rFonts w:ascii="宋体" w:hAnsi="宋体" w:eastAsia="宋体" w:cs="宋体"/>
                <w:kern w:val="0"/>
                <w:sz w:val="18"/>
                <w:szCs w:val="18"/>
              </w:rPr>
              <w:t>4</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ascii="宋体" w:hAnsi="宋体" w:eastAsia="宋体" w:cs="宋体"/>
                <w:kern w:val="0"/>
                <w:sz w:val="18"/>
                <w:szCs w:val="18"/>
              </w:rPr>
              <w:t>70%</w:t>
            </w:r>
            <w:r>
              <w:rPr>
                <w:rFonts w:hint="eastAsia" w:ascii="宋体" w:hAnsi="宋体" w:eastAsia="宋体" w:cs="宋体"/>
                <w:kern w:val="0"/>
                <w:sz w:val="18"/>
                <w:szCs w:val="18"/>
              </w:rPr>
              <w:t>（含）</w:t>
            </w:r>
            <w:r>
              <w:rPr>
                <w:rFonts w:ascii="宋体" w:hAnsi="宋体" w:eastAsia="宋体" w:cs="宋体"/>
                <w:kern w:val="0"/>
                <w:sz w:val="18"/>
                <w:szCs w:val="18"/>
              </w:rPr>
              <w:t>-80%</w:t>
            </w:r>
            <w:r>
              <w:rPr>
                <w:rFonts w:hint="eastAsia" w:ascii="宋体" w:hAnsi="宋体" w:eastAsia="宋体" w:cs="宋体"/>
                <w:kern w:val="0"/>
                <w:sz w:val="18"/>
                <w:szCs w:val="18"/>
              </w:rPr>
              <w:t>，计</w:t>
            </w:r>
            <w:r>
              <w:rPr>
                <w:rFonts w:ascii="宋体" w:hAnsi="宋体" w:eastAsia="宋体" w:cs="宋体"/>
                <w:kern w:val="0"/>
                <w:sz w:val="18"/>
                <w:szCs w:val="18"/>
              </w:rPr>
              <w:t>2</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hint="eastAsia" w:ascii="宋体" w:hAnsi="宋体" w:eastAsia="宋体" w:cs="宋体"/>
                <w:kern w:val="0"/>
                <w:sz w:val="18"/>
                <w:szCs w:val="18"/>
              </w:rPr>
              <w:t>低于</w:t>
            </w:r>
            <w:r>
              <w:rPr>
                <w:rFonts w:ascii="宋体" w:hAnsi="宋体" w:eastAsia="宋体" w:cs="宋体"/>
                <w:kern w:val="0"/>
                <w:sz w:val="18"/>
                <w:szCs w:val="18"/>
              </w:rPr>
              <w:t>70%</w:t>
            </w:r>
            <w:r>
              <w:rPr>
                <w:rFonts w:hint="eastAsia" w:ascii="宋体" w:hAnsi="宋体" w:eastAsia="宋体" w:cs="宋体"/>
                <w:kern w:val="0"/>
                <w:sz w:val="18"/>
                <w:szCs w:val="18"/>
              </w:rPr>
              <w:t>计</w:t>
            </w:r>
            <w:r>
              <w:rPr>
                <w:rFonts w:ascii="宋体" w:hAnsi="宋体" w:eastAsia="宋体" w:cs="宋体"/>
                <w:kern w:val="0"/>
                <w:sz w:val="18"/>
                <w:szCs w:val="18"/>
              </w:rPr>
              <w:t>0</w:t>
            </w:r>
            <w:r>
              <w:rPr>
                <w:rFonts w:hint="eastAsia" w:ascii="宋体" w:hAnsi="宋体" w:eastAsia="宋体" w:cs="宋体"/>
                <w:kern w:val="0"/>
                <w:sz w:val="18"/>
                <w:szCs w:val="18"/>
              </w:rPr>
              <w:t>分。</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社会公众或服务对象是指部门（单位）履行职责而影响到的部门、群体或个人，一般采取社会调查的方式。</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　</w:t>
            </w:r>
            <w:r>
              <w:rPr>
                <w:rFonts w:ascii="宋体" w:hAnsi="宋体" w:eastAsia="宋体" w:cs="宋体"/>
                <w:kern w:val="0"/>
                <w:sz w:val="18"/>
                <w:szCs w:val="18"/>
                <w:shd w:val="clear" w:color="auto" w:fill="FFFFFF"/>
              </w:rPr>
              <w:fldChar w:fldCharType="begin">
                <w:fldData xml:space="preserve">QgAzADUAMgBGADUAMgBDADkAMAAzADAANAA1ADMAOABCADAARgA0ADAANAA5AEEAOQA0AEUAMgA0
ADQARQAxAP8A
</w:fldData>
              </w:fldChar>
            </w:r>
            <w:r>
              <w:rPr>
                <w:rFonts w:ascii="宋体" w:hAnsi="宋体" w:eastAsia="宋体" w:cs="宋体"/>
                <w:kern w:val="0"/>
                <w:sz w:val="18"/>
                <w:szCs w:val="18"/>
                <w:shd w:val="clear" w:color="auto" w:fill="FFFFFF"/>
              </w:rPr>
              <w:instrText xml:space="preserve">Addin PF16</w:instrText>
            </w:r>
            <w:r>
              <w:rPr>
                <w:rFonts w:ascii="宋体" w:hAnsi="宋体" w:eastAsia="宋体" w:cs="宋体"/>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spacing w:line="600" w:lineRule="exact"/>
        <w:jc w:val="left"/>
        <w:rPr>
          <w:rFonts w:ascii="黑体" w:hAnsi="黑体" w:eastAsia="黑体" w:cs="黑体"/>
          <w:kern w:val="0"/>
        </w:rPr>
      </w:pPr>
      <w:r>
        <w:rPr>
          <w:rFonts w:hint="eastAsia" w:ascii="黑体" w:hAnsi="黑体" w:eastAsia="黑体" w:cs="黑体"/>
          <w:kern w:val="0"/>
        </w:rPr>
        <w:t>附件</w:t>
      </w:r>
      <w:r>
        <w:rPr>
          <w:rFonts w:ascii="黑体" w:hAnsi="黑体" w:eastAsia="黑体" w:cs="黑体"/>
          <w:kern w:val="0"/>
        </w:rPr>
        <w:t>3</w:t>
      </w:r>
    </w:p>
    <w:p>
      <w:pPr>
        <w:spacing w:line="600" w:lineRule="exact"/>
        <w:jc w:val="center"/>
        <w:rPr>
          <w:rFonts w:ascii="Times New Roman" w:hAnsi="Times New Roman" w:eastAsia="方正小标宋简体"/>
          <w:sz w:val="36"/>
          <w:szCs w:val="36"/>
        </w:rPr>
      </w:pPr>
    </w:p>
    <w:p>
      <w:pPr>
        <w:spacing w:line="600" w:lineRule="exact"/>
        <w:jc w:val="center"/>
        <w:rPr>
          <w:rFonts w:ascii="方正小标宋简体" w:hAnsi="方正小标宋_GBK" w:eastAsia="方正小标宋简体" w:cs="方正小标宋_GBK"/>
          <w:sz w:val="44"/>
          <w:szCs w:val="44"/>
        </w:rPr>
      </w:pPr>
      <w:r>
        <w:rPr>
          <w:rFonts w:ascii="方正小标宋简体" w:hAnsi="仿宋" w:eastAsia="方正小标宋简体" w:cs="仿宋"/>
          <w:sz w:val="44"/>
          <w:szCs w:val="44"/>
        </w:rPr>
        <w:t>2019</w:t>
      </w:r>
      <w:r>
        <w:rPr>
          <w:rFonts w:hint="eastAsia" w:ascii="方正小标宋简体" w:hAnsi="方正小标宋_GBK" w:eastAsia="方正小标宋简体" w:cs="方正小标宋_GBK"/>
          <w:sz w:val="44"/>
          <w:szCs w:val="44"/>
        </w:rPr>
        <w:t>年度</w:t>
      </w:r>
      <w:r>
        <w:rPr>
          <w:rFonts w:hint="eastAsia" w:ascii="方正小标宋简体" w:hAnsi="仿宋" w:eastAsia="方正小标宋简体" w:cs="仿宋"/>
          <w:sz w:val="44"/>
          <w:szCs w:val="44"/>
        </w:rPr>
        <w:t>区政府办</w:t>
      </w:r>
      <w:r>
        <w:rPr>
          <w:rFonts w:hint="eastAsia" w:ascii="方正小标宋简体" w:hAnsi="方正小标宋_GBK" w:eastAsia="方正小标宋简体" w:cs="方正小标宋_GBK"/>
          <w:sz w:val="44"/>
          <w:szCs w:val="44"/>
        </w:rPr>
        <w:t>整体支出预算绩效</w:t>
      </w:r>
    </w:p>
    <w:p>
      <w:pPr>
        <w:spacing w:line="600" w:lineRule="exact"/>
        <w:jc w:val="center"/>
        <w:rPr>
          <w:rFonts w:ascii="方正小标宋简体" w:hAnsi="Times New Roman" w:eastAsia="方正小标宋简体"/>
          <w:sz w:val="44"/>
          <w:szCs w:val="44"/>
        </w:rPr>
      </w:pPr>
      <w:r>
        <w:rPr>
          <w:rFonts w:hint="eastAsia" w:ascii="方正小标宋简体" w:hAnsi="Times New Roman" w:eastAsia="方正小标宋简体"/>
          <w:sz w:val="44"/>
          <w:szCs w:val="44"/>
        </w:rPr>
        <w:t>自评报告</w:t>
      </w:r>
    </w:p>
    <w:p>
      <w:pPr>
        <w:spacing w:line="600" w:lineRule="exact"/>
        <w:jc w:val="center"/>
        <w:rPr>
          <w:rFonts w:ascii="Times New Roman" w:hAnsi="Times New Roman"/>
        </w:rPr>
      </w:pPr>
    </w:p>
    <w:p>
      <w:pPr>
        <w:spacing w:line="600" w:lineRule="exact"/>
        <w:ind w:firstLine="640" w:firstLineChars="200"/>
        <w:rPr>
          <w:rFonts w:ascii="Times New Roman" w:hAnsi="Times New Roman" w:eastAsia="黑体"/>
        </w:rPr>
      </w:pPr>
      <w:r>
        <w:rPr>
          <w:rFonts w:hint="eastAsia" w:ascii="Times New Roman" w:hAnsi="Times New Roman" w:eastAsia="黑体"/>
        </w:rPr>
        <w:t>一、部门（单位）基本情况</w:t>
      </w:r>
    </w:p>
    <w:p>
      <w:pPr>
        <w:spacing w:line="600" w:lineRule="exact"/>
        <w:ind w:firstLine="640" w:firstLineChars="200"/>
        <w:rPr>
          <w:rFonts w:hAnsi="Times New Roman"/>
        </w:rPr>
      </w:pPr>
      <w:r>
        <w:rPr>
          <w:rFonts w:hint="eastAsia" w:hAnsi="Times New Roman"/>
        </w:rPr>
        <w:t>长沙市望城区人民政府办公室是区政府的综合协调部门和办事机构，为正科级行政单位，其主要职能职责：</w:t>
      </w:r>
    </w:p>
    <w:p>
      <w:pPr>
        <w:spacing w:line="600" w:lineRule="exact"/>
        <w:ind w:firstLine="640" w:firstLineChars="200"/>
        <w:rPr>
          <w:rFonts w:hAnsi="Times New Roman"/>
        </w:rPr>
      </w:pPr>
      <w:r>
        <w:rPr>
          <w:rFonts w:hAnsi="Times New Roman"/>
        </w:rPr>
        <w:t>1.</w:t>
      </w:r>
      <w:r>
        <w:rPr>
          <w:rFonts w:hint="eastAsia" w:hAnsi="Times New Roman"/>
        </w:rPr>
        <w:t>协助区政府领导同志审核或组织起草以区政府、区政府办公室名义发布的公文；负责区政府的文件收发、分送、催办、传阅、清退、立卷、归档等文书处理工作。</w:t>
      </w:r>
    </w:p>
    <w:p>
      <w:pPr>
        <w:spacing w:line="600" w:lineRule="exact"/>
        <w:ind w:firstLine="640" w:firstLineChars="200"/>
        <w:rPr>
          <w:rFonts w:hAnsi="Times New Roman"/>
        </w:rPr>
      </w:pPr>
      <w:r>
        <w:rPr>
          <w:rFonts w:hAnsi="Times New Roman"/>
        </w:rPr>
        <w:t>2.</w:t>
      </w:r>
      <w:r>
        <w:rPr>
          <w:rFonts w:hint="eastAsia" w:hAnsi="Times New Roman"/>
        </w:rPr>
        <w:t>负责统筹安排区政府领导同志日常工作，负责区政府会议、区政府党级会议和区政府领导同志重要活动的组织安排，负责或参与上级党政机构领导同志、上级党政机关各部门领导，外省市领导、其他县（市）区领导以及重要外宾来望城政务活动组织安排。</w:t>
      </w:r>
    </w:p>
    <w:p>
      <w:pPr>
        <w:spacing w:line="600" w:lineRule="exact"/>
        <w:ind w:firstLine="640" w:firstLineChars="200"/>
        <w:rPr>
          <w:rFonts w:hAnsi="Times New Roman"/>
        </w:rPr>
      </w:pPr>
      <w:r>
        <w:rPr>
          <w:rFonts w:hAnsi="Times New Roman"/>
        </w:rPr>
        <w:t>3.</w:t>
      </w:r>
      <w:r>
        <w:rPr>
          <w:rFonts w:hint="eastAsia" w:hAnsi="Times New Roman"/>
        </w:rPr>
        <w:t>协助区政府领导处理日常事务，组织协调各部门各乡镇（街道）之间的关系。</w:t>
      </w:r>
    </w:p>
    <w:p>
      <w:pPr>
        <w:spacing w:line="600" w:lineRule="exact"/>
        <w:ind w:firstLine="640" w:firstLineChars="200"/>
        <w:rPr>
          <w:rFonts w:hAnsi="Times New Roman"/>
        </w:rPr>
      </w:pPr>
      <w:r>
        <w:rPr>
          <w:rFonts w:hAnsi="Times New Roman"/>
        </w:rPr>
        <w:t>4.</w:t>
      </w:r>
      <w:r>
        <w:rPr>
          <w:rFonts w:hint="eastAsia" w:hAnsi="Times New Roman"/>
        </w:rPr>
        <w:t>负责区政府政务值班工作，做好突发事件信息的收集、整理、反馈和上报；负责接收、发放区内会议通知；负责区政府办人民群众来信来访接待工作。</w:t>
      </w:r>
    </w:p>
    <w:p>
      <w:pPr>
        <w:spacing w:line="600" w:lineRule="exact"/>
        <w:ind w:firstLine="640" w:firstLineChars="200"/>
        <w:rPr>
          <w:rFonts w:hAnsi="Times New Roman"/>
        </w:rPr>
      </w:pPr>
      <w:r>
        <w:rPr>
          <w:rFonts w:hAnsi="Times New Roman"/>
        </w:rPr>
        <w:t>5.</w:t>
      </w:r>
      <w:r>
        <w:rPr>
          <w:rFonts w:hint="eastAsia" w:hAnsi="Times New Roman"/>
        </w:rPr>
        <w:t>负责区政府领导的讲话等文稿，收集、整理、传递政务信息，为区政府领导决策和指导工作提供信息服务。</w:t>
      </w:r>
    </w:p>
    <w:p>
      <w:pPr>
        <w:spacing w:line="600" w:lineRule="exact"/>
        <w:ind w:firstLine="640" w:firstLineChars="200"/>
        <w:rPr>
          <w:rFonts w:hAnsi="Times New Roman"/>
        </w:rPr>
      </w:pPr>
      <w:r>
        <w:rPr>
          <w:rFonts w:hAnsi="Times New Roman"/>
        </w:rPr>
        <w:t>6.</w:t>
      </w:r>
      <w:r>
        <w:rPr>
          <w:rFonts w:hint="eastAsia" w:hAnsi="Times New Roman"/>
        </w:rPr>
        <w:t>督促检查重要工作以及公文、会议议定事项和区政府领导同志有关批示的执行落实情况，并跟踪调研，及时向区政府报告。</w:t>
      </w:r>
    </w:p>
    <w:p>
      <w:pPr>
        <w:spacing w:line="600" w:lineRule="exact"/>
        <w:ind w:firstLine="640" w:firstLineChars="200"/>
        <w:rPr>
          <w:rFonts w:hAnsi="Times New Roman"/>
        </w:rPr>
      </w:pPr>
      <w:r>
        <w:rPr>
          <w:rFonts w:hAnsi="Times New Roman"/>
        </w:rPr>
        <w:t>7.</w:t>
      </w:r>
      <w:r>
        <w:rPr>
          <w:rFonts w:hint="eastAsia" w:hAnsi="Times New Roman"/>
        </w:rPr>
        <w:t>负责组织区政府有关部门办理和答复人大代表建议和政协委员提案。</w:t>
      </w:r>
    </w:p>
    <w:p>
      <w:pPr>
        <w:spacing w:line="600" w:lineRule="exact"/>
        <w:ind w:firstLine="640" w:firstLineChars="200"/>
        <w:rPr>
          <w:rFonts w:hAnsi="Times New Roman"/>
        </w:rPr>
      </w:pPr>
      <w:r>
        <w:rPr>
          <w:rFonts w:hAnsi="Times New Roman"/>
        </w:rPr>
        <w:t>8.</w:t>
      </w:r>
      <w:r>
        <w:rPr>
          <w:rFonts w:hint="eastAsia" w:hAnsi="Times New Roman"/>
        </w:rPr>
        <w:t>负责征地拆迁行政职能。</w:t>
      </w:r>
    </w:p>
    <w:p>
      <w:pPr>
        <w:spacing w:line="600" w:lineRule="exact"/>
        <w:ind w:firstLine="640" w:firstLineChars="200"/>
        <w:rPr>
          <w:rFonts w:hAnsi="Times New Roman"/>
        </w:rPr>
      </w:pPr>
      <w:r>
        <w:rPr>
          <w:rFonts w:hAnsi="Times New Roman"/>
        </w:rPr>
        <w:t>9.</w:t>
      </w:r>
      <w:r>
        <w:rPr>
          <w:rFonts w:hint="eastAsia" w:hAnsi="Times New Roman"/>
        </w:rPr>
        <w:t>办理上级部门和区委、区人民政府交办的其他事项。</w:t>
      </w:r>
    </w:p>
    <w:p>
      <w:pPr>
        <w:spacing w:line="600" w:lineRule="exact"/>
        <w:ind w:firstLine="640" w:firstLineChars="200"/>
        <w:rPr>
          <w:rFonts w:hAnsi="Times New Roman"/>
        </w:rPr>
      </w:pPr>
      <w:r>
        <w:rPr>
          <w:rFonts w:hint="eastAsia" w:hAnsi="Times New Roman"/>
        </w:rPr>
        <w:t>办公室下设行政科、秘书一科、秘书二科、区政府督查室、区政府政务值班室、区政府研究室</w:t>
      </w:r>
      <w:r>
        <w:rPr>
          <w:rFonts w:hAnsi="Times New Roman"/>
        </w:rPr>
        <w:t>6</w:t>
      </w:r>
      <w:r>
        <w:rPr>
          <w:rFonts w:hint="eastAsia" w:hAnsi="Times New Roman"/>
        </w:rPr>
        <w:t>个科室。</w:t>
      </w:r>
    </w:p>
    <w:p>
      <w:pPr>
        <w:spacing w:line="600" w:lineRule="exact"/>
        <w:ind w:firstLine="640" w:firstLineChars="200"/>
        <w:rPr>
          <w:rFonts w:hAnsi="Times New Roman"/>
        </w:rPr>
      </w:pPr>
      <w:r>
        <w:rPr>
          <w:rFonts w:hint="eastAsia" w:hAnsi="Times New Roman"/>
        </w:rPr>
        <w:t>经区委编办核定人员编制</w:t>
      </w:r>
      <w:r>
        <w:rPr>
          <w:rFonts w:hAnsi="Times New Roman"/>
        </w:rPr>
        <w:t>47</w:t>
      </w:r>
      <w:r>
        <w:rPr>
          <w:rFonts w:hint="eastAsia" w:hAnsi="Times New Roman"/>
        </w:rPr>
        <w:t>人，其中行政编制</w:t>
      </w:r>
      <w:r>
        <w:rPr>
          <w:rFonts w:hAnsi="Times New Roman"/>
        </w:rPr>
        <w:t>40</w:t>
      </w:r>
      <w:r>
        <w:rPr>
          <w:rFonts w:hint="eastAsia" w:hAnsi="Times New Roman"/>
        </w:rPr>
        <w:t>人、工勤编制</w:t>
      </w:r>
      <w:r>
        <w:rPr>
          <w:rFonts w:hAnsi="Times New Roman"/>
        </w:rPr>
        <w:t>7</w:t>
      </w:r>
      <w:r>
        <w:rPr>
          <w:rFonts w:hint="eastAsia" w:hAnsi="Times New Roman"/>
        </w:rPr>
        <w:t>人。在职干部职工</w:t>
      </w:r>
      <w:r>
        <w:rPr>
          <w:rFonts w:hAnsi="Times New Roman"/>
        </w:rPr>
        <w:t>65</w:t>
      </w:r>
      <w:r>
        <w:rPr>
          <w:rFonts w:hint="eastAsia" w:hAnsi="Times New Roman"/>
        </w:rPr>
        <w:t>人（含政策性提前退休</w:t>
      </w:r>
      <w:r>
        <w:rPr>
          <w:rFonts w:hAnsi="Times New Roman"/>
        </w:rPr>
        <w:t>1</w:t>
      </w:r>
      <w:r>
        <w:rPr>
          <w:rFonts w:hint="eastAsia" w:hAnsi="Times New Roman"/>
        </w:rPr>
        <w:t>人），临聘人员</w:t>
      </w:r>
      <w:r>
        <w:rPr>
          <w:rFonts w:hAnsi="Times New Roman"/>
        </w:rPr>
        <w:t>5</w:t>
      </w:r>
      <w:r>
        <w:rPr>
          <w:rFonts w:hint="eastAsia" w:hAnsi="Times New Roman"/>
        </w:rPr>
        <w:t>人，退休人员</w:t>
      </w:r>
      <w:r>
        <w:rPr>
          <w:rFonts w:hAnsi="Times New Roman"/>
        </w:rPr>
        <w:t>24</w:t>
      </w:r>
      <w:r>
        <w:rPr>
          <w:rFonts w:hint="eastAsia" w:hAnsi="Times New Roman"/>
        </w:rPr>
        <w:t>人，遗属</w:t>
      </w:r>
      <w:r>
        <w:rPr>
          <w:rFonts w:hAnsi="Times New Roman"/>
        </w:rPr>
        <w:t>5</w:t>
      </w:r>
      <w:r>
        <w:rPr>
          <w:rFonts w:hint="eastAsia" w:hAnsi="Times New Roman"/>
        </w:rPr>
        <w:t>人。</w:t>
      </w:r>
    </w:p>
    <w:p>
      <w:pPr>
        <w:spacing w:line="600" w:lineRule="exact"/>
        <w:ind w:firstLine="640" w:firstLineChars="200"/>
        <w:rPr>
          <w:rFonts w:ascii="Times New Roman" w:hAnsi="Times New Roman" w:eastAsia="黑体"/>
        </w:rPr>
      </w:pPr>
      <w:r>
        <w:rPr>
          <w:rFonts w:hint="eastAsia" w:ascii="Times New Roman" w:hAnsi="Times New Roman" w:eastAsia="黑体"/>
        </w:rPr>
        <w:t>二、部门（单位）预算管理及执行情况</w:t>
      </w:r>
    </w:p>
    <w:p>
      <w:pPr>
        <w:spacing w:line="600" w:lineRule="exact"/>
        <w:ind w:firstLine="640" w:firstLineChars="200"/>
        <w:rPr>
          <w:rFonts w:hAnsi="Times New Roman"/>
        </w:rPr>
      </w:pPr>
      <w:r>
        <w:rPr>
          <w:rFonts w:hint="eastAsia" w:hAnsi="Times New Roman"/>
        </w:rPr>
        <w:t>（一）预算执行情况</w:t>
      </w:r>
    </w:p>
    <w:p>
      <w:pPr>
        <w:spacing w:line="600" w:lineRule="exact"/>
        <w:ind w:firstLine="640" w:firstLineChars="200"/>
        <w:rPr>
          <w:rFonts w:hAnsi="Times New Roman"/>
        </w:rPr>
      </w:pPr>
      <w:r>
        <w:rPr>
          <w:rFonts w:hAnsi="Times New Roman"/>
        </w:rPr>
        <w:t>2019</w:t>
      </w:r>
      <w:r>
        <w:rPr>
          <w:rFonts w:hint="eastAsia" w:hAnsi="Times New Roman"/>
        </w:rPr>
        <w:t>年一般公共预算拨款收入</w:t>
      </w:r>
      <w:r>
        <w:rPr>
          <w:rFonts w:hAnsi="Times New Roman"/>
        </w:rPr>
        <w:t>2698.4</w:t>
      </w:r>
      <w:r>
        <w:rPr>
          <w:rFonts w:hint="eastAsia" w:hAnsi="Times New Roman"/>
        </w:rPr>
        <w:t>万元，一般公共预算拨款支出</w:t>
      </w:r>
      <w:r>
        <w:rPr>
          <w:rFonts w:hAnsi="Times New Roman"/>
        </w:rPr>
        <w:t>2698.4</w:t>
      </w:r>
      <w:r>
        <w:rPr>
          <w:rFonts w:hint="eastAsia" w:hAnsi="Times New Roman"/>
        </w:rPr>
        <w:t>万元。</w:t>
      </w:r>
      <w:r>
        <w:rPr>
          <w:rFonts w:hAnsi="Times New Roman"/>
        </w:rPr>
        <w:t>2019</w:t>
      </w:r>
      <w:r>
        <w:rPr>
          <w:rFonts w:hint="eastAsia" w:hAnsi="Times New Roman"/>
        </w:rPr>
        <w:t>年一般公共预算拨款决算收入</w:t>
      </w:r>
      <w:r>
        <w:rPr>
          <w:rFonts w:hAnsi="Times New Roman"/>
        </w:rPr>
        <w:t>2313.98</w:t>
      </w:r>
      <w:r>
        <w:rPr>
          <w:rFonts w:hint="eastAsia" w:hAnsi="Times New Roman"/>
        </w:rPr>
        <w:t>万元，一般公共决策拨款决算支出</w:t>
      </w:r>
      <w:r>
        <w:rPr>
          <w:rFonts w:hAnsi="Times New Roman"/>
        </w:rPr>
        <w:t>2313.98</w:t>
      </w:r>
      <w:r>
        <w:rPr>
          <w:rFonts w:hint="eastAsia" w:hAnsi="Times New Roman"/>
        </w:rPr>
        <w:t>万元。</w:t>
      </w:r>
      <w:r>
        <w:rPr>
          <w:rFonts w:hAnsi="Times New Roman"/>
        </w:rPr>
        <w:t>2019</w:t>
      </w:r>
      <w:r>
        <w:rPr>
          <w:rFonts w:hint="eastAsia" w:hAnsi="Times New Roman"/>
        </w:rPr>
        <w:t>年末追加预算，预算完成率和控制率均为</w:t>
      </w:r>
      <w:r>
        <w:rPr>
          <w:rFonts w:hAnsi="Times New Roman"/>
        </w:rPr>
        <w:t>100%</w:t>
      </w:r>
      <w:r>
        <w:rPr>
          <w:rFonts w:hint="eastAsia" w:hAnsi="Times New Roman"/>
        </w:rPr>
        <w:t>。</w:t>
      </w:r>
      <w:r>
        <w:rPr>
          <w:rFonts w:hAnsi="Times New Roman"/>
        </w:rPr>
        <w:t>2019</w:t>
      </w:r>
      <w:r>
        <w:rPr>
          <w:rFonts w:hint="eastAsia" w:hAnsi="Times New Roman"/>
        </w:rPr>
        <w:t>年部门决算较预算减少</w:t>
      </w:r>
      <w:r>
        <w:rPr>
          <w:rFonts w:hAnsi="Times New Roman"/>
        </w:rPr>
        <w:t>384.42</w:t>
      </w:r>
      <w:r>
        <w:rPr>
          <w:rFonts w:hint="eastAsia" w:hAnsi="Times New Roman"/>
        </w:rPr>
        <w:t>万元，其减少的主要原因一是机构改革，法制办经费和外事任务经费调减；二是严格落实上级“过紧日子”要求，大力压减一般性支出。</w:t>
      </w:r>
    </w:p>
    <w:p>
      <w:pPr>
        <w:spacing w:line="600" w:lineRule="exact"/>
        <w:ind w:firstLine="640" w:firstLineChars="200"/>
        <w:rPr>
          <w:rFonts w:hAnsi="Times New Roman"/>
        </w:rPr>
      </w:pPr>
      <w:r>
        <w:rPr>
          <w:rFonts w:hint="eastAsia" w:hAnsi="Times New Roman"/>
        </w:rPr>
        <w:t>政府办</w:t>
      </w:r>
      <w:r>
        <w:rPr>
          <w:rFonts w:hAnsi="Times New Roman"/>
        </w:rPr>
        <w:t>2019</w:t>
      </w:r>
      <w:r>
        <w:rPr>
          <w:rFonts w:hint="eastAsia" w:hAnsi="Times New Roman"/>
        </w:rPr>
        <w:t>年未新建楼堂馆所。</w:t>
      </w:r>
    </w:p>
    <w:p>
      <w:pPr>
        <w:spacing w:line="600" w:lineRule="exact"/>
        <w:ind w:firstLine="640" w:firstLineChars="200"/>
        <w:rPr>
          <w:rFonts w:hAnsi="Times New Roman"/>
        </w:rPr>
      </w:pPr>
      <w:r>
        <w:rPr>
          <w:rFonts w:hint="eastAsia" w:hAnsi="Times New Roman"/>
        </w:rPr>
        <w:t>（二）预算管理情况</w:t>
      </w:r>
    </w:p>
    <w:p>
      <w:pPr>
        <w:spacing w:line="600" w:lineRule="exact"/>
        <w:ind w:firstLine="640" w:firstLineChars="200"/>
        <w:rPr>
          <w:rFonts w:hAnsi="Times New Roman"/>
        </w:rPr>
      </w:pPr>
      <w:r>
        <w:rPr>
          <w:rFonts w:hAnsi="Times New Roman"/>
        </w:rPr>
        <w:t>1.</w:t>
      </w:r>
      <w:r>
        <w:rPr>
          <w:rFonts w:hint="eastAsia" w:hAnsi="Times New Roman"/>
        </w:rPr>
        <w:t>公用经费控制率。</w:t>
      </w:r>
      <w:r>
        <w:rPr>
          <w:rFonts w:hAnsi="Times New Roman"/>
        </w:rPr>
        <w:t>2019</w:t>
      </w:r>
      <w:r>
        <w:rPr>
          <w:rFonts w:hint="eastAsia" w:hAnsi="Times New Roman"/>
        </w:rPr>
        <w:t>年政府办公用经费预算</w:t>
      </w:r>
      <w:r>
        <w:rPr>
          <w:rFonts w:hAnsi="Times New Roman"/>
        </w:rPr>
        <w:t>152</w:t>
      </w:r>
      <w:r>
        <w:rPr>
          <w:rFonts w:hint="eastAsia" w:hAnsi="Times New Roman"/>
        </w:rPr>
        <w:t>万元，实际支出公用经费</w:t>
      </w:r>
      <w:r>
        <w:rPr>
          <w:rFonts w:hAnsi="Times New Roman"/>
        </w:rPr>
        <w:t>69.21</w:t>
      </w:r>
      <w:r>
        <w:rPr>
          <w:rFonts w:hint="eastAsia" w:hAnsi="Times New Roman"/>
        </w:rPr>
        <w:t>万元，公用经费控制率</w:t>
      </w:r>
      <w:r>
        <w:rPr>
          <w:rFonts w:hAnsi="Times New Roman"/>
        </w:rPr>
        <w:t>45.53%</w:t>
      </w:r>
      <w:r>
        <w:rPr>
          <w:rFonts w:hint="eastAsia" w:hAnsi="Times New Roman"/>
        </w:rPr>
        <w:t>。</w:t>
      </w:r>
    </w:p>
    <w:p>
      <w:pPr>
        <w:spacing w:line="600" w:lineRule="exact"/>
        <w:ind w:firstLine="640" w:firstLineChars="200"/>
        <w:rPr>
          <w:rFonts w:hAnsi="Times New Roman"/>
        </w:rPr>
      </w:pPr>
      <w:r>
        <w:rPr>
          <w:rFonts w:hAnsi="Times New Roman"/>
        </w:rPr>
        <w:t>2.</w:t>
      </w:r>
      <w:r>
        <w:rPr>
          <w:rFonts w:hint="eastAsia" w:hAnsi="Times New Roman"/>
        </w:rPr>
        <w:t>“三公经费”控制率。</w:t>
      </w:r>
      <w:r>
        <w:rPr>
          <w:rFonts w:hAnsi="Times New Roman"/>
        </w:rPr>
        <w:t>2019</w:t>
      </w:r>
      <w:r>
        <w:rPr>
          <w:rFonts w:hint="eastAsia" w:hAnsi="Times New Roman"/>
        </w:rPr>
        <w:t>年政府三公经费预算</w:t>
      </w:r>
      <w:r>
        <w:rPr>
          <w:rFonts w:hAnsi="Times New Roman"/>
        </w:rPr>
        <w:t>35</w:t>
      </w:r>
      <w:r>
        <w:rPr>
          <w:rFonts w:hint="eastAsia" w:hAnsi="Times New Roman"/>
        </w:rPr>
        <w:t>万元，“三公经费”实际支出</w:t>
      </w:r>
      <w:r>
        <w:rPr>
          <w:rFonts w:hAnsi="Times New Roman"/>
        </w:rPr>
        <w:t>8.37</w:t>
      </w:r>
      <w:r>
        <w:rPr>
          <w:rFonts w:hint="eastAsia" w:hAnsi="Times New Roman"/>
        </w:rPr>
        <w:t>万元，“三公经费”控制率</w:t>
      </w:r>
      <w:r>
        <w:rPr>
          <w:rFonts w:hAnsi="Times New Roman"/>
        </w:rPr>
        <w:t>23.91%</w:t>
      </w:r>
      <w:r>
        <w:rPr>
          <w:rFonts w:hint="eastAsia" w:hAnsi="Times New Roman"/>
        </w:rPr>
        <w:t>。</w:t>
      </w:r>
    </w:p>
    <w:p>
      <w:pPr>
        <w:spacing w:line="600" w:lineRule="exact"/>
        <w:ind w:firstLine="640" w:firstLineChars="200"/>
        <w:rPr>
          <w:rFonts w:hAnsi="Times New Roman"/>
        </w:rPr>
      </w:pPr>
      <w:r>
        <w:rPr>
          <w:rFonts w:hAnsi="Times New Roman"/>
        </w:rPr>
        <w:t>3.</w:t>
      </w:r>
      <w:r>
        <w:rPr>
          <w:rFonts w:hint="eastAsia" w:hAnsi="Times New Roman"/>
        </w:rPr>
        <w:t>政府采购执行率。</w:t>
      </w:r>
      <w:r>
        <w:rPr>
          <w:rFonts w:hAnsi="Times New Roman"/>
        </w:rPr>
        <w:t>2019</w:t>
      </w:r>
      <w:r>
        <w:rPr>
          <w:rFonts w:hint="eastAsia" w:hAnsi="Times New Roman"/>
        </w:rPr>
        <w:t>年政府办政策采购预算</w:t>
      </w:r>
      <w:r>
        <w:rPr>
          <w:rFonts w:hAnsi="Times New Roman"/>
        </w:rPr>
        <w:t>128.8</w:t>
      </w:r>
      <w:r>
        <w:rPr>
          <w:rFonts w:hint="eastAsia" w:hAnsi="Times New Roman"/>
        </w:rPr>
        <w:t>万，实际政府采购</w:t>
      </w:r>
      <w:r>
        <w:rPr>
          <w:rFonts w:hAnsi="Times New Roman"/>
        </w:rPr>
        <w:t>15.98</w:t>
      </w:r>
      <w:r>
        <w:rPr>
          <w:rFonts w:hint="eastAsia" w:hAnsi="Times New Roman"/>
        </w:rPr>
        <w:t>万元，政府采购执行率</w:t>
      </w:r>
      <w:r>
        <w:rPr>
          <w:rFonts w:hAnsi="Times New Roman"/>
        </w:rPr>
        <w:t>12.41%</w:t>
      </w:r>
      <w:r>
        <w:rPr>
          <w:rFonts w:hint="eastAsia" w:hAnsi="Times New Roman"/>
        </w:rPr>
        <w:t>。</w:t>
      </w:r>
    </w:p>
    <w:p>
      <w:pPr>
        <w:spacing w:line="600" w:lineRule="exact"/>
        <w:ind w:firstLine="640" w:firstLineChars="200"/>
        <w:rPr>
          <w:rFonts w:hAnsi="Times New Roman"/>
        </w:rPr>
      </w:pPr>
      <w:r>
        <w:rPr>
          <w:rFonts w:hAnsi="Times New Roman"/>
        </w:rPr>
        <w:t>4.</w:t>
      </w:r>
      <w:r>
        <w:rPr>
          <w:rFonts w:hint="eastAsia" w:hAnsi="Times New Roman"/>
        </w:rPr>
        <w:t>管理制度健全性。我单位财务管理严格依法依规，做到公开公平公正，严格执行各项有关法律法规、财经纪律、财务规章制度和预（决）算、政府采购、国库集中支付、专项资金等管理办法和操作规程。单位为规范财务管理，建立健全财务管理制度，制定了如《区政府办财务管理制度》、《区政府办政府采购管理制度》、《区政府办固定资产管理制度》、《望城区政府办公务出行用车制度》等一系列合法合规、较为完整的业务及财务管理制度。各项管理制度健全，财务管理规范，相关管理制度得到有效的执行。</w:t>
      </w:r>
    </w:p>
    <w:p>
      <w:pPr>
        <w:spacing w:line="600" w:lineRule="exact"/>
        <w:ind w:firstLine="640" w:firstLineChars="200"/>
        <w:rPr>
          <w:rFonts w:hAnsi="Times New Roman"/>
        </w:rPr>
      </w:pPr>
      <w:r>
        <w:rPr>
          <w:rFonts w:hAnsi="Times New Roman"/>
        </w:rPr>
        <w:t>5.</w:t>
      </w:r>
      <w:r>
        <w:rPr>
          <w:rFonts w:hint="eastAsia" w:hAnsi="Times New Roman"/>
        </w:rPr>
        <w:t>资金使用合规性。资金的支付符合国家财经法规和财务管理制度规定，以及有关专项资金管理办法的规定；资金拨付有完整的审批程序和手续；经费支出符合部门预算批复的用途；资金使用无截留、挪用、虚列支出等情况。</w:t>
      </w:r>
    </w:p>
    <w:p>
      <w:pPr>
        <w:spacing w:line="600" w:lineRule="exact"/>
        <w:ind w:firstLine="640" w:firstLineChars="200"/>
        <w:rPr>
          <w:rFonts w:hAnsi="Times New Roman"/>
        </w:rPr>
      </w:pPr>
      <w:r>
        <w:rPr>
          <w:rFonts w:hAnsi="Times New Roman"/>
        </w:rPr>
        <w:t>6.</w:t>
      </w:r>
      <w:r>
        <w:rPr>
          <w:rFonts w:hint="eastAsia" w:hAnsi="Times New Roman"/>
        </w:rPr>
        <w:t>预决算信息公开性。部门预算信息按规定内容，在规定的时限内予以公开。基础数据信息和会计信息资料真实、完整、准确。</w:t>
      </w:r>
    </w:p>
    <w:p>
      <w:pPr>
        <w:spacing w:line="600" w:lineRule="exact"/>
        <w:ind w:firstLine="640" w:firstLineChars="200"/>
        <w:rPr>
          <w:rFonts w:ascii="Times New Roman" w:hAnsi="Times New Roman" w:eastAsia="黑体"/>
        </w:rPr>
      </w:pPr>
      <w:r>
        <w:rPr>
          <w:rFonts w:hint="eastAsia" w:ascii="Times New Roman" w:hAnsi="Times New Roman" w:eastAsia="黑体"/>
        </w:rPr>
        <w:t>三、部门（单位）资产管理情况</w:t>
      </w:r>
    </w:p>
    <w:p>
      <w:pPr>
        <w:spacing w:line="600" w:lineRule="exact"/>
        <w:ind w:firstLine="640" w:firstLineChars="200"/>
        <w:rPr>
          <w:rFonts w:ascii="宋体" w:hAnsi="宋体" w:eastAsia="宋体" w:cs="宋体"/>
        </w:rPr>
      </w:pPr>
      <w:r>
        <w:rPr>
          <w:rFonts w:hint="eastAsia" w:hAnsi="Times New Roman"/>
        </w:rPr>
        <w:t>为规范固定资产的管理，提高固定资产使用效率，单位制定了固定资产管理制度和政府采购管理办法，制度中对机关资产配置、资产更新和购置程序、资产的日常管理和维护、资产的处置等方面做出了明确的规定。固定资产配置遵循“效益优先，按需申购，计划配置”的原则，资产增量和存量相结合、资产使用年限与科室人员编制相结合的要求，组织固定资产配置。固定资产采购按照《通用资产配置标准》、《国有资产配置管理规定》和年度采购预算批复，编制采购计划。固定资产采用信息化管理，引进物资管理系统，把所有固定资产类型、型号、价格、购入时间、使用部门和使用人、存放地点等要素录入系统，生成固定资产卡片。固定资产的处置，先由使用科室提出意见，经行政科核实并报分管财务负责人审批后，按程序报区国资局办理报废、处置和销账工作。</w:t>
      </w:r>
    </w:p>
    <w:p>
      <w:pPr>
        <w:spacing w:line="600" w:lineRule="exact"/>
        <w:ind w:firstLine="640" w:firstLineChars="200"/>
        <w:rPr>
          <w:rFonts w:ascii="Times New Roman" w:hAnsi="Times New Roman" w:eastAsia="黑体"/>
        </w:rPr>
      </w:pPr>
      <w:r>
        <w:rPr>
          <w:rFonts w:hint="eastAsia" w:ascii="Times New Roman" w:hAnsi="Times New Roman" w:eastAsia="黑体"/>
        </w:rPr>
        <w:t>四、部门（单位）整体支出绩效目标及开展情况</w:t>
      </w:r>
    </w:p>
    <w:p>
      <w:pPr>
        <w:spacing w:line="600" w:lineRule="exact"/>
        <w:ind w:firstLine="640" w:firstLineChars="200"/>
        <w:rPr>
          <w:rFonts w:hAnsi="Times New Roman"/>
        </w:rPr>
      </w:pPr>
      <w:r>
        <w:rPr>
          <w:rFonts w:hint="eastAsia" w:hAnsi="Times New Roman"/>
        </w:rPr>
        <w:t>按照预算绩效管理工作的总体要求，</w:t>
      </w:r>
      <w:r>
        <w:rPr>
          <w:rFonts w:hAnsi="Times New Roman"/>
        </w:rPr>
        <w:t>2019</w:t>
      </w:r>
      <w:r>
        <w:rPr>
          <w:rFonts w:hint="eastAsia" w:hAnsi="Times New Roman"/>
        </w:rPr>
        <w:t>年政府办预算支出</w:t>
      </w:r>
      <w:r>
        <w:rPr>
          <w:rFonts w:hAnsi="Times New Roman"/>
        </w:rPr>
        <w:t>2698.4</w:t>
      </w:r>
      <w:r>
        <w:rPr>
          <w:rFonts w:hint="eastAsia" w:hAnsi="Times New Roman"/>
        </w:rPr>
        <w:t>万元，全部实行整体支出绩效目标管理，编报绩效目标的项目</w:t>
      </w:r>
      <w:r>
        <w:rPr>
          <w:rFonts w:hAnsi="Times New Roman"/>
        </w:rPr>
        <w:t>1</w:t>
      </w:r>
      <w:r>
        <w:rPr>
          <w:rFonts w:hint="eastAsia" w:hAnsi="Times New Roman"/>
        </w:rPr>
        <w:t>个，涉及项目支出</w:t>
      </w:r>
      <w:r>
        <w:rPr>
          <w:rFonts w:hAnsi="Times New Roman"/>
        </w:rPr>
        <w:t>894</w:t>
      </w:r>
      <w:r>
        <w:rPr>
          <w:rFonts w:hint="eastAsia" w:hAnsi="Times New Roman"/>
        </w:rPr>
        <w:t>万元，其中：政务日常事务专项项目</w:t>
      </w:r>
      <w:r>
        <w:rPr>
          <w:rFonts w:hAnsi="Times New Roman"/>
        </w:rPr>
        <w:t>794</w:t>
      </w:r>
      <w:r>
        <w:rPr>
          <w:rFonts w:hint="eastAsia" w:hAnsi="Times New Roman"/>
        </w:rPr>
        <w:t>万元、法制工作经费</w:t>
      </w:r>
      <w:r>
        <w:rPr>
          <w:rFonts w:hAnsi="Times New Roman"/>
        </w:rPr>
        <w:t>100</w:t>
      </w:r>
      <w:r>
        <w:rPr>
          <w:rFonts w:hint="eastAsia" w:hAnsi="Times New Roman"/>
        </w:rPr>
        <w:t>万，全部实行项目支出绩效目标管理。</w:t>
      </w:r>
    </w:p>
    <w:p>
      <w:pPr>
        <w:spacing w:line="600" w:lineRule="exact"/>
        <w:ind w:firstLine="640" w:firstLineChars="200"/>
        <w:rPr>
          <w:rFonts w:ascii="Times New Roman" w:hAnsi="Times New Roman" w:eastAsia="黑体"/>
        </w:rPr>
      </w:pPr>
      <w:r>
        <w:rPr>
          <w:rFonts w:hint="eastAsia" w:ascii="Times New Roman" w:hAnsi="Times New Roman" w:eastAsia="黑体"/>
        </w:rPr>
        <w:t>五、部门（单位）整体支出绩效实现情况</w:t>
      </w:r>
    </w:p>
    <w:p>
      <w:pPr>
        <w:spacing w:line="600" w:lineRule="exact"/>
        <w:ind w:firstLine="643" w:firstLineChars="200"/>
        <w:rPr>
          <w:rFonts w:ascii="Times New Roman" w:hAnsi="Times New Roman"/>
          <w:b/>
        </w:rPr>
      </w:pPr>
      <w:r>
        <w:rPr>
          <w:rFonts w:hint="eastAsia" w:ascii="Times New Roman" w:hAnsi="Times New Roman"/>
          <w:b/>
        </w:rPr>
        <w:t>（一）履职完成及效果情况</w:t>
      </w:r>
    </w:p>
    <w:p>
      <w:pPr>
        <w:spacing w:line="600" w:lineRule="exact"/>
        <w:ind w:firstLine="640" w:firstLineChars="200"/>
        <w:rPr>
          <w:rFonts w:hAnsi="Times New Roman"/>
        </w:rPr>
      </w:pPr>
      <w:r>
        <w:rPr>
          <w:rFonts w:hAnsi="Times New Roman"/>
        </w:rPr>
        <w:t>1.</w:t>
      </w:r>
      <w:r>
        <w:rPr>
          <w:rFonts w:hint="eastAsia" w:hAnsi="Times New Roman"/>
        </w:rPr>
        <w:t>坚持从全区工作大局出发，牢牢抓住牵动全局的关键点和人民群众的聚集点，加强形势研究和区情分析，切实履行好参谋协助职能。紧扣实体经济发展、制造业高质量发展、产业链建设、精准扶贫、征拆安置等重大课题，深入一线开展专题调研活动，提出了一批颇具价值的对策建议，为区政府领导决策提供了科学参考。</w:t>
      </w:r>
    </w:p>
    <w:p>
      <w:pPr>
        <w:spacing w:line="600" w:lineRule="exact"/>
        <w:ind w:firstLine="640" w:firstLineChars="200"/>
        <w:rPr>
          <w:rFonts w:hAnsi="Times New Roman"/>
        </w:rPr>
      </w:pPr>
      <w:r>
        <w:rPr>
          <w:rFonts w:hAnsi="Times New Roman"/>
        </w:rPr>
        <w:t>2.</w:t>
      </w:r>
      <w:r>
        <w:rPr>
          <w:rFonts w:hint="eastAsia" w:hAnsi="Times New Roman"/>
        </w:rPr>
        <w:t>按照“高效精准”的要求，严格实行公文印制审核把关制度，规范公文审签、用印、制发等环节，强化送阅、催办、反馈等措施，研究制定《长沙市望城区人民政府工作规则》（望政发</w:t>
      </w:r>
      <w:r>
        <w:rPr>
          <w:rFonts w:hAnsi="Times New Roman"/>
        </w:rPr>
        <w:t>[2019]1</w:t>
      </w:r>
      <w:r>
        <w:rPr>
          <w:rFonts w:hint="eastAsia" w:hAnsi="Times New Roman"/>
        </w:rPr>
        <w:t>号）等系列文件，坚决杜绝“裸文”、公文“体外循环”的现象。组织开展区直部门办公系统综合业务培训</w:t>
      </w:r>
      <w:r>
        <w:rPr>
          <w:rFonts w:hAnsi="Times New Roman"/>
        </w:rPr>
        <w:t>1</w:t>
      </w:r>
      <w:r>
        <w:rPr>
          <w:rFonts w:hint="eastAsia" w:hAnsi="Times New Roman"/>
        </w:rPr>
        <w:t>次，文件起草更快捷，运转更顺畅，衔接更紧密，全年高效处理请示文件</w:t>
      </w:r>
      <w:r>
        <w:rPr>
          <w:rFonts w:hAnsi="Times New Roman"/>
        </w:rPr>
        <w:t>2464</w:t>
      </w:r>
      <w:r>
        <w:rPr>
          <w:rFonts w:hint="eastAsia" w:hAnsi="Times New Roman"/>
        </w:rPr>
        <w:t>件、传阅文件</w:t>
      </w:r>
      <w:r>
        <w:rPr>
          <w:rFonts w:hAnsi="Times New Roman"/>
        </w:rPr>
        <w:t>1992</w:t>
      </w:r>
      <w:r>
        <w:rPr>
          <w:rFonts w:hint="eastAsia" w:hAnsi="Times New Roman"/>
        </w:rPr>
        <w:t>件，其中以区政府、区政府办名义正式印发公文</w:t>
      </w:r>
      <w:r>
        <w:rPr>
          <w:rFonts w:hAnsi="Times New Roman"/>
        </w:rPr>
        <w:t>312</w:t>
      </w:r>
      <w:r>
        <w:rPr>
          <w:rFonts w:hint="eastAsia" w:hAnsi="Times New Roman"/>
        </w:rPr>
        <w:t>件，较上年减少</w:t>
      </w:r>
      <w:r>
        <w:rPr>
          <w:rFonts w:hAnsi="Times New Roman"/>
        </w:rPr>
        <w:t>31%</w:t>
      </w:r>
      <w:r>
        <w:rPr>
          <w:rFonts w:hint="eastAsia" w:hAnsi="Times New Roman"/>
        </w:rPr>
        <w:t>，各类会议纪要</w:t>
      </w:r>
      <w:r>
        <w:rPr>
          <w:rFonts w:hAnsi="Times New Roman"/>
        </w:rPr>
        <w:t>197</w:t>
      </w:r>
      <w:r>
        <w:rPr>
          <w:rFonts w:hint="eastAsia" w:hAnsi="Times New Roman"/>
        </w:rPr>
        <w:t>件，较上年减少</w:t>
      </w:r>
      <w:r>
        <w:rPr>
          <w:rFonts w:hAnsi="Times New Roman"/>
        </w:rPr>
        <w:t>17.2%</w:t>
      </w:r>
      <w:r>
        <w:rPr>
          <w:rFonts w:hint="eastAsia" w:hAnsi="Times New Roman"/>
        </w:rPr>
        <w:t>。围绕区委、区政府重大决策，</w:t>
      </w:r>
      <w:r>
        <w:rPr>
          <w:rFonts w:hint="eastAsia" w:hAnsi="Times New Roman"/>
          <w:spacing w:val="-6"/>
        </w:rPr>
        <w:t>紧贴领导思路，严把文字材料的质量关口，全年共完成工作报告、领导讲话、情况汇报等各类文稿</w:t>
      </w:r>
      <w:r>
        <w:rPr>
          <w:rFonts w:hAnsi="Times New Roman"/>
          <w:spacing w:val="-6"/>
        </w:rPr>
        <w:t>200</w:t>
      </w:r>
      <w:r>
        <w:rPr>
          <w:rFonts w:hint="eastAsia" w:hAnsi="Times New Roman"/>
          <w:spacing w:val="-6"/>
        </w:rPr>
        <w:t>余篇，半年度经济形势分析会讲话、政府工作报告等语言凝练、指导性强，获得一致认可。</w:t>
      </w:r>
    </w:p>
    <w:p>
      <w:pPr>
        <w:spacing w:line="600" w:lineRule="exact"/>
        <w:ind w:firstLine="640" w:firstLineChars="200"/>
        <w:rPr>
          <w:rFonts w:hAnsi="Times New Roman"/>
        </w:rPr>
      </w:pPr>
      <w:r>
        <w:rPr>
          <w:rFonts w:hAnsi="Times New Roman"/>
        </w:rPr>
        <w:t>3.</w:t>
      </w:r>
      <w:r>
        <w:rPr>
          <w:rFonts w:hint="eastAsia" w:hAnsi="Times New Roman"/>
        </w:rPr>
        <w:t>牢固树立“精简会议、精细办公”的理念，严格会议报批和组织实施程序，未经审批的会议一律不开，严控会议数量，可以整合到一起开的会议坚决整合，无实质性工作内容的会议坚决不开，全年全区会议比上年减少</w:t>
      </w:r>
      <w:r>
        <w:rPr>
          <w:rFonts w:hAnsi="Times New Roman"/>
        </w:rPr>
        <w:t>30%</w:t>
      </w:r>
      <w:r>
        <w:rPr>
          <w:rFonts w:hint="eastAsia" w:hAnsi="Times New Roman"/>
        </w:rPr>
        <w:t>。会前严格工作对接、会议通知、材料准备、会场布置等诸多环节，并将各项工作细化到岗、到人，确保衔接顺畅、布置精准；会中加强会风督查考核，对无故缺会、代会、迟到早退者，及时发出通报，确保良好的会风会纪；会后加强会议精神贯彻落实的督促检查，确保会议精神落实到位。全年召开区政府常务会议</w:t>
      </w:r>
      <w:r>
        <w:rPr>
          <w:rFonts w:hAnsi="Times New Roman"/>
        </w:rPr>
        <w:t>8</w:t>
      </w:r>
      <w:r>
        <w:rPr>
          <w:rFonts w:hint="eastAsia" w:hAnsi="Times New Roman"/>
        </w:rPr>
        <w:t>次，审议议题</w:t>
      </w:r>
      <w:r>
        <w:rPr>
          <w:rFonts w:hAnsi="Times New Roman"/>
        </w:rPr>
        <w:t>52</w:t>
      </w:r>
      <w:r>
        <w:rPr>
          <w:rFonts w:hint="eastAsia" w:hAnsi="Times New Roman"/>
        </w:rPr>
        <w:t>个，会议质量和效率持续提升。</w:t>
      </w:r>
    </w:p>
    <w:p>
      <w:pPr>
        <w:spacing w:line="600" w:lineRule="exact"/>
        <w:ind w:firstLine="640" w:firstLineChars="200"/>
        <w:rPr>
          <w:rFonts w:ascii="宋体" w:hAnsi="宋体" w:eastAsia="宋体" w:cs="宋体"/>
        </w:rPr>
      </w:pPr>
      <w:r>
        <w:rPr>
          <w:rFonts w:hAnsi="Times New Roman"/>
        </w:rPr>
        <w:t>4.</w:t>
      </w:r>
      <w:r>
        <w:rPr>
          <w:rFonts w:hint="eastAsia" w:hAnsi="Times New Roman"/>
        </w:rPr>
        <w:t>积极向上级相关部门汇报，及时协调四大办及区直相关部门，实现重大活动、重要工作的有效衔接，重点保障了全区“两会”、国际铁人三项赛、红土网球赛、全市项目流动观摩等活动的顺利开展，圆满完成上级领导视察望城、外地党政代表团考察望城，区政府领导调研等系列活动。各位县级干部、副主任协助各分管副区长开展日常工作，为区政府各项工作高效运转发挥了重要的参谋助手作用。统筹推动全区节日期间国旗升挂、“一圈两场三道”等重大工作，其中“一圈两场三道”工作被告市政府评为一等优秀单位。</w:t>
      </w:r>
    </w:p>
    <w:p>
      <w:pPr>
        <w:spacing w:line="600" w:lineRule="exact"/>
        <w:ind w:firstLine="640" w:firstLineChars="200"/>
        <w:rPr>
          <w:rFonts w:ascii="Times New Roman" w:hAnsi="Times New Roman"/>
        </w:rPr>
      </w:pPr>
      <w:r>
        <w:rPr>
          <w:rFonts w:ascii="Times New Roman" w:hAnsi="Times New Roman"/>
        </w:rPr>
        <w:t>5.</w:t>
      </w:r>
      <w:r>
        <w:rPr>
          <w:rFonts w:hint="eastAsia" w:ascii="Times New Roman" w:hAnsi="Times New Roman"/>
        </w:rPr>
        <w:t>围绕区人大会议确定的任务、目标，将《政府工作报告》及经济社会各项重点工作和民生实事以责任分解表的形式，逐一明确承办单位和责任人，坚持一月一调度、一月一通报，全年下发督查通报</w:t>
      </w:r>
      <w:r>
        <w:rPr>
          <w:rFonts w:ascii="Times New Roman" w:hAnsi="Times New Roman"/>
        </w:rPr>
        <w:t>10</w:t>
      </w:r>
      <w:r>
        <w:rPr>
          <w:rFonts w:hint="eastAsia" w:ascii="Times New Roman" w:hAnsi="Times New Roman"/>
        </w:rPr>
        <w:t>期，确保了各项工作任务圆满完成。针对重大项目建设、拆违控违、精准扶贫等重点工作，组织相关部门深入一线督查，及时准确掌握真实情况，为区领导掌握工作动态、科学决策提供了依据。对各级领导批办件、区政府各类会议议定事项，制定专项督促落实方案，限期反馈落实，全年组织办理各级议案、建议、提案</w:t>
      </w:r>
      <w:r>
        <w:rPr>
          <w:rFonts w:ascii="Times New Roman" w:hAnsi="Times New Roman"/>
        </w:rPr>
        <w:t>178</w:t>
      </w:r>
      <w:r>
        <w:rPr>
          <w:rFonts w:hint="eastAsia" w:ascii="Times New Roman" w:hAnsi="Times New Roman"/>
        </w:rPr>
        <w:t>件，办复质量不断提升。</w:t>
      </w:r>
    </w:p>
    <w:p>
      <w:pPr>
        <w:spacing w:line="600" w:lineRule="exact"/>
        <w:ind w:firstLine="640" w:firstLineChars="200"/>
        <w:rPr>
          <w:rFonts w:ascii="宋体" w:hAnsi="宋体" w:eastAsia="宋体" w:cs="宋体"/>
        </w:rPr>
      </w:pPr>
      <w:r>
        <w:rPr>
          <w:rFonts w:ascii="Times New Roman" w:hAnsi="Times New Roman"/>
        </w:rPr>
        <w:t>6.</w:t>
      </w:r>
      <w:r>
        <w:rPr>
          <w:rFonts w:hint="eastAsia" w:ascii="Times New Roman" w:hAnsi="Times New Roman"/>
        </w:rPr>
        <w:t>立足发挥信息工作的上传下达作用，进一步规范信息采编工作，突出从全区经济发展、项目建设、城乡品质、社会民生各个领域、搜集素材、提炼总结，即反映先进典型和经验做法，又反映问题和差距，使领导及时掌握工作动态，便于决策参考。一年来，向上级报送各类信息共计</w:t>
      </w:r>
      <w:r>
        <w:rPr>
          <w:rFonts w:ascii="Times New Roman" w:hAnsi="Times New Roman"/>
        </w:rPr>
        <w:t>100</w:t>
      </w:r>
      <w:r>
        <w:rPr>
          <w:rFonts w:hint="eastAsia" w:ascii="Times New Roman" w:hAnsi="Times New Roman"/>
        </w:rPr>
        <w:t>余条，其中《比亚迪电子长沙工厂首批华为手机在望城正式下线》等信息被省办、市办采用，起到了宣传望城、推介望城的良好效果。</w:t>
      </w:r>
    </w:p>
    <w:p>
      <w:pPr>
        <w:spacing w:line="600" w:lineRule="exact"/>
        <w:ind w:firstLine="643" w:firstLineChars="200"/>
        <w:rPr>
          <w:rFonts w:ascii="Times New Roman" w:hAnsi="Times New Roman"/>
          <w:b/>
        </w:rPr>
      </w:pPr>
      <w:r>
        <w:rPr>
          <w:rFonts w:hint="eastAsia" w:ascii="Times New Roman" w:hAnsi="Times New Roman"/>
          <w:b/>
        </w:rPr>
        <w:t>（二）社会满意度情况</w:t>
      </w:r>
    </w:p>
    <w:p>
      <w:pPr>
        <w:spacing w:line="600" w:lineRule="exact"/>
        <w:ind w:firstLine="640" w:firstLineChars="200"/>
        <w:rPr>
          <w:rFonts w:ascii="Times New Roman" w:hAnsi="Times New Roman"/>
        </w:rPr>
      </w:pPr>
      <w:r>
        <w:rPr>
          <w:rFonts w:hint="eastAsia" w:ascii="Times New Roman" w:hAnsi="Times New Roman"/>
        </w:rPr>
        <w:t>发挥本职效能，人民群众满意和代表满意程度：满意。</w:t>
      </w:r>
    </w:p>
    <w:p>
      <w:pPr>
        <w:spacing w:line="600" w:lineRule="exact"/>
        <w:ind w:firstLine="640" w:firstLineChars="200"/>
        <w:rPr>
          <w:rFonts w:ascii="Times New Roman" w:hAnsi="Times New Roman" w:eastAsia="黑体"/>
        </w:rPr>
      </w:pPr>
      <w:r>
        <w:rPr>
          <w:rFonts w:hint="eastAsia" w:ascii="Times New Roman" w:hAnsi="Times New Roman" w:eastAsia="黑体"/>
        </w:rPr>
        <w:t>六、部门（单位）整体支出绩效中存在问题及改进措施</w:t>
      </w:r>
    </w:p>
    <w:p>
      <w:pPr>
        <w:spacing w:line="600" w:lineRule="exact"/>
        <w:ind w:firstLine="640" w:firstLineChars="200"/>
        <w:rPr>
          <w:rFonts w:ascii="Times New Roman" w:hAnsi="Times New Roman"/>
        </w:rPr>
      </w:pPr>
      <w:r>
        <w:rPr>
          <w:rFonts w:hint="eastAsia" w:ascii="Times New Roman" w:hAnsi="Times New Roman"/>
        </w:rPr>
        <w:t>（一）主要问题及原因分析</w:t>
      </w:r>
    </w:p>
    <w:p>
      <w:pPr>
        <w:spacing w:line="600" w:lineRule="exact"/>
        <w:ind w:firstLine="640" w:firstLineChars="200"/>
        <w:rPr>
          <w:rFonts w:ascii="Times New Roman" w:hAnsi="Times New Roman"/>
        </w:rPr>
      </w:pPr>
      <w:r>
        <w:rPr>
          <w:rFonts w:hint="eastAsia" w:ascii="Times New Roman" w:hAnsi="Times New Roman"/>
        </w:rPr>
        <w:t>要加快预算执行进度，确保资金使用及时、有效。预算编制精准度不够。</w:t>
      </w:r>
    </w:p>
    <w:p>
      <w:pPr>
        <w:spacing w:line="600" w:lineRule="exact"/>
        <w:ind w:firstLine="640" w:firstLineChars="200"/>
        <w:rPr>
          <w:rFonts w:hAnsi="Times New Roman"/>
        </w:rPr>
      </w:pPr>
      <w:r>
        <w:rPr>
          <w:rFonts w:hint="eastAsia" w:hAnsi="Times New Roman"/>
        </w:rPr>
        <w:t>（二）改进的方向和具体措施</w:t>
      </w:r>
    </w:p>
    <w:p>
      <w:pPr>
        <w:spacing w:line="600" w:lineRule="exact"/>
        <w:ind w:firstLine="640" w:firstLineChars="200"/>
        <w:rPr>
          <w:rFonts w:hAnsi="Times New Roman"/>
        </w:rPr>
      </w:pPr>
      <w:r>
        <w:rPr>
          <w:rFonts w:hAnsi="Times New Roman"/>
        </w:rPr>
        <w:t>1.</w:t>
      </w:r>
      <w:r>
        <w:rPr>
          <w:rFonts w:hint="eastAsia" w:hAnsi="Times New Roman"/>
        </w:rPr>
        <w:t>完善预算管理制度体系，科学合理编制预算财务人员应提高认识，加强学习，增强按照《预算法》规范动作的意识，要做好预算编制前的调研究和分析工作，进一步提高预算的准确性和科学性，减少预算编制的随意性。在对预算年度的经济状况进行全面科学分析的基础上，按照“量入为出、收支平衡、</w:t>
      </w:r>
      <w:r>
        <w:rPr>
          <w:rFonts w:hint="eastAsia" w:hAnsi="Times New Roman"/>
          <w:spacing w:val="-6"/>
        </w:rPr>
        <w:t>统筹兼顾，确保重点”的原则，合理安排预算收支，将预算资金尽量落实到个体单位、项目，争取做到每个支出项目都是有预算。</w:t>
      </w:r>
    </w:p>
    <w:p>
      <w:pPr>
        <w:spacing w:line="600" w:lineRule="exact"/>
        <w:ind w:firstLine="640" w:firstLineChars="200"/>
        <w:rPr>
          <w:rFonts w:hAnsi="Times New Roman"/>
        </w:rPr>
      </w:pPr>
      <w:r>
        <w:rPr>
          <w:rFonts w:hAnsi="Times New Roman"/>
        </w:rPr>
        <w:t>2.</w:t>
      </w:r>
      <w:r>
        <w:rPr>
          <w:rFonts w:hint="eastAsia" w:hAnsi="Times New Roman"/>
        </w:rPr>
        <w:t>编制完整的年度采购预算，合理编制采购计划严格按照《政府采购法》规定和部门预算管理的要求，采购单位要有前瞻性、计划性，要编制完整的年度采购预算。根据政府采购预算编制采购计划，做好政府采购预算和采购计划编报的相互衔接工作，确保采购预算一经批准便要严格执行。</w:t>
      </w:r>
    </w:p>
    <w:p>
      <w:pPr>
        <w:spacing w:line="600" w:lineRule="exact"/>
        <w:ind w:firstLine="640" w:firstLineChars="200"/>
        <w:rPr>
          <w:rFonts w:hAnsi="Times New Roman"/>
        </w:rPr>
      </w:pPr>
      <w:r>
        <w:rPr>
          <w:rFonts w:hAnsi="Times New Roman"/>
        </w:rPr>
        <w:t>3.</w:t>
      </w:r>
      <w:r>
        <w:rPr>
          <w:rFonts w:hint="eastAsia" w:hAnsi="Times New Roman"/>
        </w:rPr>
        <w:t>重视绩效评价工作，建立绩效评价制度绩效评价工作是衡量部门履行职责的执行情况和效率效果的重要手段，单位应该自上而下增强绩效管理责任意识，把绩效自评、绩效管理等工作纳入常态，建立和完善财政支出绩效评价相关制度，包括绩效目标审查制度、项目绩效考核制度、绩效奖惩制度等，以充分调动开展绩效评价工作的积极性和责任感。</w:t>
      </w:r>
    </w:p>
    <w:p>
      <w:pPr>
        <w:spacing w:line="600" w:lineRule="exact"/>
        <w:ind w:firstLine="640" w:firstLineChars="200"/>
        <w:rPr>
          <w:rFonts w:hAnsi="Times New Roman"/>
        </w:rPr>
      </w:pPr>
      <w:r>
        <w:rPr>
          <w:rFonts w:hAnsi="Times New Roman"/>
        </w:rPr>
        <w:t>4.</w:t>
      </w:r>
      <w:r>
        <w:rPr>
          <w:rFonts w:hint="eastAsia" w:hAnsi="Times New Roman"/>
        </w:rPr>
        <w:t>加强项目监督检查，保障项目及进完成单位要制定合理的项目实际计划，采用科学的管理方法，定期对本单位项目的实施情况进行监督检查，对存在的问题限期整改，责任到人，调动参与人员积极性和明确任务目标，发现项目滞后应立即采取有效措施弥补。</w:t>
      </w:r>
    </w:p>
    <w:p>
      <w:pPr>
        <w:spacing w:line="600" w:lineRule="exact"/>
        <w:ind w:firstLine="640" w:firstLineChars="200"/>
        <w:rPr>
          <w:rFonts w:ascii="Times New Roman" w:hAnsi="Times New Roman"/>
        </w:rPr>
      </w:pPr>
      <w:r>
        <w:rPr>
          <w:rFonts w:hint="eastAsia" w:ascii="Times New Roman" w:hAnsi="Times New Roman" w:eastAsia="黑体"/>
        </w:rPr>
        <w:t>七、其它需要说明的情况</w:t>
      </w:r>
    </w:p>
    <w:p>
      <w:pPr>
        <w:adjustRightInd w:val="0"/>
        <w:snapToGrid w:val="0"/>
        <w:spacing w:line="600" w:lineRule="exact"/>
        <w:jc w:val="left"/>
        <w:rPr>
          <w:rFonts w:hAnsi="黑体"/>
        </w:rPr>
      </w:pPr>
      <w:r>
        <w:rPr>
          <w:rFonts w:ascii="黑体" w:hAnsi="黑体" w:eastAsia="黑体"/>
        </w:rPr>
        <w:t xml:space="preserve"> </w:t>
      </w:r>
      <w:r>
        <w:rPr>
          <w:rFonts w:hAnsi="黑体"/>
        </w:rPr>
        <w:t xml:space="preserve">   </w:t>
      </w:r>
      <w:r>
        <w:rPr>
          <w:rFonts w:hint="eastAsia" w:hAnsi="黑体"/>
        </w:rPr>
        <w:t>无</w:t>
      </w:r>
    </w:p>
    <w:sectPr>
      <w:headerReference r:id="rId3" w:type="default"/>
      <w:footerReference r:id="rId4" w:type="default"/>
      <w:footerReference r:id="rId5" w:type="even"/>
      <w:pgSz w:w="11906" w:h="16838"/>
      <w:pgMar w:top="1701" w:right="1587" w:bottom="1417" w:left="1701"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Fonts w:ascii="仿宋" w:hAnsi="仿宋" w:eastAsia="仿宋" w:cs="仿宋"/>
        <w:sz w:val="28"/>
        <w:szCs w:val="28"/>
      </w:rPr>
      <w:fldChar w:fldCharType="begin"/>
    </w:r>
    <w:r>
      <w:rPr>
        <w:rFonts w:ascii="仿宋" w:hAnsi="仿宋" w:eastAsia="仿宋" w:cs="仿宋"/>
        <w:sz w:val="28"/>
        <w:szCs w:val="28"/>
      </w:rPr>
      <w:instrText xml:space="preserve">PAGE   \* MERGEFORMAT</w:instrText>
    </w:r>
    <w:r>
      <w:rPr>
        <w:rFonts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1 -</w:t>
    </w:r>
    <w:r>
      <w:rPr>
        <w:rFonts w:ascii="仿宋" w:hAnsi="仿宋" w:eastAsia="仿宋" w:cs="仿宋"/>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仿宋" w:hAnsi="仿宋" w:eastAsia="仿宋" w:cs="仿宋"/>
        <w:sz w:val="28"/>
        <w:szCs w:val="28"/>
      </w:rPr>
      <w:fldChar w:fldCharType="begin"/>
    </w:r>
    <w:r>
      <w:rPr>
        <w:rFonts w:ascii="仿宋" w:hAnsi="仿宋" w:eastAsia="仿宋" w:cs="仿宋"/>
        <w:sz w:val="28"/>
        <w:szCs w:val="28"/>
      </w:rPr>
      <w:instrText xml:space="preserve">PAGE   \* MERGEFORMAT</w:instrText>
    </w:r>
    <w:r>
      <w:rPr>
        <w:rFonts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2 -</w:t>
    </w:r>
    <w:r>
      <w:rPr>
        <w:rFonts w:ascii="仿宋" w:hAnsi="仿宋" w:eastAsia="仿宋" w:cs="仿宋"/>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1025"/>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D2480"/>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08A0"/>
    <w:rsid w:val="0048639A"/>
    <w:rsid w:val="00486AFF"/>
    <w:rsid w:val="00490592"/>
    <w:rsid w:val="004B6514"/>
    <w:rsid w:val="004C06F3"/>
    <w:rsid w:val="004C0FAE"/>
    <w:rsid w:val="004C37B2"/>
    <w:rsid w:val="004C420F"/>
    <w:rsid w:val="004C609D"/>
    <w:rsid w:val="004E1BAF"/>
    <w:rsid w:val="004E437A"/>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42A55"/>
    <w:rsid w:val="00656D1E"/>
    <w:rsid w:val="00662C5F"/>
    <w:rsid w:val="006650D7"/>
    <w:rsid w:val="006766CC"/>
    <w:rsid w:val="006924C4"/>
    <w:rsid w:val="006936A2"/>
    <w:rsid w:val="006971C6"/>
    <w:rsid w:val="006D5B45"/>
    <w:rsid w:val="006D7E4D"/>
    <w:rsid w:val="006F0A44"/>
    <w:rsid w:val="006F5EBB"/>
    <w:rsid w:val="007336F9"/>
    <w:rsid w:val="00742C69"/>
    <w:rsid w:val="007710AC"/>
    <w:rsid w:val="00783BAD"/>
    <w:rsid w:val="007A02CE"/>
    <w:rsid w:val="007B3CF7"/>
    <w:rsid w:val="007C2C3E"/>
    <w:rsid w:val="007D60DD"/>
    <w:rsid w:val="00815068"/>
    <w:rsid w:val="00816734"/>
    <w:rsid w:val="00822809"/>
    <w:rsid w:val="00830963"/>
    <w:rsid w:val="00834ED6"/>
    <w:rsid w:val="00856037"/>
    <w:rsid w:val="008854AA"/>
    <w:rsid w:val="008A4AAA"/>
    <w:rsid w:val="008A7835"/>
    <w:rsid w:val="008C5FEB"/>
    <w:rsid w:val="008C786A"/>
    <w:rsid w:val="008D1C56"/>
    <w:rsid w:val="008D26E3"/>
    <w:rsid w:val="00920B6C"/>
    <w:rsid w:val="0095469C"/>
    <w:rsid w:val="00964943"/>
    <w:rsid w:val="009B1AC1"/>
    <w:rsid w:val="009B2C90"/>
    <w:rsid w:val="009B7757"/>
    <w:rsid w:val="009D37B4"/>
    <w:rsid w:val="009D5A12"/>
    <w:rsid w:val="009E2E3A"/>
    <w:rsid w:val="009F0B2A"/>
    <w:rsid w:val="00A00E85"/>
    <w:rsid w:val="00A17F2F"/>
    <w:rsid w:val="00A23802"/>
    <w:rsid w:val="00A24C77"/>
    <w:rsid w:val="00A42276"/>
    <w:rsid w:val="00A4662B"/>
    <w:rsid w:val="00A5183F"/>
    <w:rsid w:val="00A61547"/>
    <w:rsid w:val="00A63BB3"/>
    <w:rsid w:val="00A668BF"/>
    <w:rsid w:val="00A84484"/>
    <w:rsid w:val="00A87EDF"/>
    <w:rsid w:val="00A923A5"/>
    <w:rsid w:val="00AA3D07"/>
    <w:rsid w:val="00AA6438"/>
    <w:rsid w:val="00AD08EA"/>
    <w:rsid w:val="00AD2FCB"/>
    <w:rsid w:val="00AD58D7"/>
    <w:rsid w:val="00AF6720"/>
    <w:rsid w:val="00B40C50"/>
    <w:rsid w:val="00B42100"/>
    <w:rsid w:val="00B44886"/>
    <w:rsid w:val="00B55CB9"/>
    <w:rsid w:val="00B56602"/>
    <w:rsid w:val="00B66E6A"/>
    <w:rsid w:val="00B7584F"/>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16584"/>
    <w:rsid w:val="00F246BC"/>
    <w:rsid w:val="00F24D5C"/>
    <w:rsid w:val="00F30595"/>
    <w:rsid w:val="00F353B4"/>
    <w:rsid w:val="00F3588E"/>
    <w:rsid w:val="00F46099"/>
    <w:rsid w:val="00F5351D"/>
    <w:rsid w:val="00F562FB"/>
    <w:rsid w:val="00F570EF"/>
    <w:rsid w:val="00F63924"/>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CC5BAA"/>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1425E5"/>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0"/>
    <w:semiHidden/>
    <w:uiPriority w:val="99"/>
    <w:pPr>
      <w:spacing w:line="240" w:lineRule="auto"/>
    </w:pPr>
    <w:rPr>
      <w:rFonts w:hAnsi="Times New Roman"/>
      <w:sz w:val="18"/>
      <w:szCs w:val="18"/>
    </w:rPr>
  </w:style>
  <w:style w:type="paragraph" w:styleId="4">
    <w:name w:val="footer"/>
    <w:basedOn w:val="1"/>
    <w:link w:val="11"/>
    <w:uiPriority w:val="99"/>
    <w:pPr>
      <w:tabs>
        <w:tab w:val="center" w:pos="4153"/>
        <w:tab w:val="right" w:pos="8306"/>
      </w:tabs>
      <w:snapToGrid w:val="0"/>
      <w:spacing w:line="240" w:lineRule="atLeast"/>
      <w:jc w:val="left"/>
    </w:pPr>
    <w:rPr>
      <w:kern w:val="0"/>
      <w:sz w:val="18"/>
      <w:szCs w:val="18"/>
    </w:rPr>
  </w:style>
  <w:style w:type="paragraph" w:styleId="5">
    <w:name w:val="header"/>
    <w:basedOn w:val="1"/>
    <w:link w:val="12"/>
    <w:uiPriority w:val="99"/>
    <w:pPr>
      <w:pBdr>
        <w:bottom w:val="single" w:color="auto" w:sz="6" w:space="1"/>
      </w:pBdr>
      <w:tabs>
        <w:tab w:val="center" w:pos="4153"/>
        <w:tab w:val="right" w:pos="8306"/>
      </w:tabs>
      <w:snapToGrid w:val="0"/>
      <w:spacing w:line="240" w:lineRule="atLeast"/>
      <w:jc w:val="center"/>
    </w:pPr>
    <w:rPr>
      <w:kern w:val="0"/>
      <w:sz w:val="18"/>
      <w:szCs w:val="18"/>
    </w:rPr>
  </w:style>
  <w:style w:type="character" w:styleId="8">
    <w:name w:val="page number"/>
    <w:basedOn w:val="7"/>
    <w:uiPriority w:val="99"/>
    <w:rPr>
      <w:rFonts w:cs="Times New Roman"/>
    </w:rPr>
  </w:style>
  <w:style w:type="character" w:customStyle="1" w:styleId="9">
    <w:name w:val="Date Char"/>
    <w:basedOn w:val="7"/>
    <w:link w:val="2"/>
    <w:semiHidden/>
    <w:locked/>
    <w:uiPriority w:val="99"/>
    <w:rPr>
      <w:rFonts w:ascii="Times New Roman" w:hAnsi="Times New Roman"/>
      <w:sz w:val="24"/>
    </w:rPr>
  </w:style>
  <w:style w:type="character" w:customStyle="1" w:styleId="10">
    <w:name w:val="Balloon Text Char"/>
    <w:basedOn w:val="7"/>
    <w:link w:val="3"/>
    <w:semiHidden/>
    <w:locked/>
    <w:uiPriority w:val="99"/>
    <w:rPr>
      <w:rFonts w:ascii="仿宋_GB2312" w:eastAsia="仿宋_GB2312"/>
      <w:kern w:val="2"/>
      <w:sz w:val="18"/>
    </w:rPr>
  </w:style>
  <w:style w:type="character" w:customStyle="1" w:styleId="11">
    <w:name w:val="Footer Char"/>
    <w:basedOn w:val="7"/>
    <w:link w:val="4"/>
    <w:locked/>
    <w:uiPriority w:val="99"/>
    <w:rPr>
      <w:rFonts w:ascii="仿宋_GB2312" w:hAnsi="Calibri" w:eastAsia="仿宋_GB2312"/>
      <w:sz w:val="18"/>
    </w:rPr>
  </w:style>
  <w:style w:type="character" w:customStyle="1" w:styleId="12">
    <w:name w:val="Header Char"/>
    <w:basedOn w:val="7"/>
    <w:link w:val="5"/>
    <w:locked/>
    <w:uiPriority w:val="99"/>
    <w:rPr>
      <w:rFonts w:ascii="仿宋_GB2312" w:hAnsi="Calibri" w:eastAsia="仿宋_GB2312"/>
      <w:sz w:val="18"/>
    </w:rPr>
  </w:style>
  <w:style w:type="paragraph" w:customStyle="1" w:styleId="13">
    <w:name w:val="Char"/>
    <w:basedOn w:val="1"/>
    <w:uiPriority w:val="99"/>
    <w:pPr>
      <w:spacing w:line="240" w:lineRule="auto"/>
    </w:pPr>
    <w:rPr>
      <w:rFonts w:ascii="Times New Roman" w:hAnsi="Times New Roman" w:eastAsia="宋体"/>
      <w:sz w:val="21"/>
      <w:szCs w:val="20"/>
    </w:rPr>
  </w:style>
  <w:style w:type="character" w:customStyle="1" w:styleId="14">
    <w:name w:val="日期 Char1"/>
    <w:basedOn w:val="7"/>
    <w:semiHidden/>
    <w:uiPriority w:val="99"/>
    <w:rPr>
      <w:rFonts w:ascii="仿宋_GB2312" w:eastAsia="仿宋_GB2312" w:cs="Times New Roman"/>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11</Pages>
  <Words>993</Words>
  <Characters>5663</Characters>
  <Lines>0</Lines>
  <Paragraphs>0</Paragraphs>
  <TotalTime>81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柯柯妈</cp:lastModifiedBy>
  <cp:lastPrinted>2020-03-26T03:38:00Z</cp:lastPrinted>
  <dcterms:modified xsi:type="dcterms:W3CDTF">2020-12-15T05:48:52Z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