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Times New Roman" w:hAnsi="Times New Roman" w:eastAsia="方正小标宋简体" w:cs="Times New Roman"/>
          <w:sz w:val="36"/>
          <w:szCs w:val="36"/>
        </w:rPr>
      </w:pPr>
      <w:bookmarkStart w:id="0" w:name="_GoBack"/>
      <w:r>
        <w:rPr>
          <w:rFonts w:hint="default" w:ascii="Times New Roman" w:hAnsi="Times New Roman" w:eastAsia="方正小标宋简体" w:cs="Times New Roman"/>
          <w:sz w:val="36"/>
          <w:szCs w:val="36"/>
          <w:lang w:val="en-US" w:eastAsia="zh-CN"/>
        </w:rPr>
        <w:t>2019</w:t>
      </w:r>
      <w:r>
        <w:rPr>
          <w:rFonts w:hint="default" w:ascii="Times New Roman" w:hAnsi="Times New Roman" w:eastAsia="方正小标宋简体" w:cs="Times New Roman"/>
          <w:sz w:val="36"/>
          <w:szCs w:val="36"/>
        </w:rPr>
        <w:t>年度</w:t>
      </w:r>
      <w:r>
        <w:rPr>
          <w:rFonts w:hint="default" w:ascii="Times New Roman" w:hAnsi="Times New Roman" w:eastAsia="方正小标宋简体" w:cs="Times New Roman"/>
          <w:sz w:val="36"/>
          <w:szCs w:val="36"/>
          <w:lang w:eastAsia="zh-CN"/>
        </w:rPr>
        <w:t>区委组织部</w:t>
      </w:r>
      <w:r>
        <w:rPr>
          <w:rFonts w:hint="default" w:ascii="Times New Roman" w:hAnsi="Times New Roman" w:eastAsia="方正小标宋简体" w:cs="Times New Roman"/>
          <w:sz w:val="36"/>
          <w:szCs w:val="36"/>
        </w:rPr>
        <w:t>部门整体支出绩效</w:t>
      </w:r>
      <w:r>
        <w:rPr>
          <w:rFonts w:hint="eastAsia" w:ascii="Times New Roman" w:hAnsi="Times New Roman" w:eastAsia="方正小标宋简体" w:cs="Times New Roman"/>
          <w:sz w:val="36"/>
          <w:szCs w:val="36"/>
          <w:lang w:eastAsia="zh-CN"/>
        </w:rPr>
        <w:t>评价</w:t>
      </w:r>
      <w:r>
        <w:rPr>
          <w:rFonts w:hint="default" w:ascii="Times New Roman" w:hAnsi="Times New Roman" w:eastAsia="方正小标宋简体" w:cs="Times New Roman"/>
          <w:sz w:val="36"/>
          <w:szCs w:val="36"/>
        </w:rPr>
        <w:t>报告</w:t>
      </w:r>
    </w:p>
    <w:bookmarkEnd w:id="0"/>
    <w:p>
      <w:pPr>
        <w:spacing w:line="600" w:lineRule="exact"/>
        <w:jc w:val="center"/>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黑体" w:cs="Times New Roman"/>
          <w:sz w:val="30"/>
        </w:rPr>
      </w:pPr>
      <w:r>
        <w:rPr>
          <w:rFonts w:hint="default" w:ascii="Times New Roman" w:hAnsi="Times New Roman" w:eastAsia="黑体" w:cs="Times New Roman"/>
          <w:sz w:val="30"/>
        </w:rPr>
        <w:t>一、部门（单位）基本情况</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仿宋_GB2312" w:cs="Times New Roman"/>
          <w:sz w:val="30"/>
        </w:rPr>
      </w:pPr>
      <w:r>
        <w:rPr>
          <w:rFonts w:hint="default" w:ascii="Times New Roman" w:hAnsi="Times New Roman" w:eastAsia="仿宋_GB2312" w:cs="Times New Roman"/>
          <w:sz w:val="30"/>
        </w:rPr>
        <w:t>1．职能职责</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仿宋_GB2312" w:cs="Times New Roman"/>
          <w:sz w:val="30"/>
        </w:rPr>
      </w:pPr>
      <w:r>
        <w:rPr>
          <w:rFonts w:hint="default" w:ascii="Times New Roman" w:hAnsi="Times New Roman" w:eastAsia="仿宋_GB2312" w:cs="Times New Roman"/>
          <w:sz w:val="30"/>
        </w:rPr>
        <w:t>（1）负责全区干部选拔、任用、管理和干部监督工作；</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仿宋_GB2312" w:cs="Times New Roman"/>
          <w:sz w:val="30"/>
        </w:rPr>
      </w:pPr>
      <w:r>
        <w:rPr>
          <w:rFonts w:hint="default" w:ascii="Times New Roman" w:hAnsi="Times New Roman" w:eastAsia="仿宋_GB2312" w:cs="Times New Roman"/>
          <w:sz w:val="30"/>
        </w:rPr>
        <w:t>（2）负责全区干部教育培训工作；</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仿宋_GB2312" w:cs="Times New Roman"/>
          <w:sz w:val="30"/>
        </w:rPr>
      </w:pPr>
      <w:r>
        <w:rPr>
          <w:rFonts w:hint="default" w:ascii="Times New Roman" w:hAnsi="Times New Roman" w:eastAsia="仿宋_GB2312" w:cs="Times New Roman"/>
          <w:sz w:val="30"/>
        </w:rPr>
        <w:t>（3）负责全区人才交流、引进、管理、服务工作；</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仿宋_GB2312" w:cs="Times New Roman"/>
          <w:sz w:val="30"/>
        </w:rPr>
      </w:pPr>
      <w:r>
        <w:rPr>
          <w:rFonts w:hint="default" w:ascii="Times New Roman" w:hAnsi="Times New Roman" w:eastAsia="仿宋_GB2312" w:cs="Times New Roman"/>
          <w:sz w:val="30"/>
        </w:rPr>
        <w:t>（4）负责全区各行业、各领域党组织党的建设工作；</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仿宋_GB2312" w:cs="Times New Roman"/>
          <w:sz w:val="30"/>
        </w:rPr>
      </w:pPr>
      <w:r>
        <w:rPr>
          <w:rFonts w:hint="default" w:ascii="Times New Roman" w:hAnsi="Times New Roman" w:eastAsia="仿宋_GB2312" w:cs="Times New Roman"/>
          <w:sz w:val="30"/>
        </w:rPr>
        <w:t>（5）负责审定各绩效考核单位年度绩效目标计划；开展日常绩效目标察访核验工作，牵头组织协调相关部门对各乡镇和区直部门进行年度绩效考核。</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仿宋_GB2312" w:cs="Times New Roman"/>
          <w:sz w:val="30"/>
        </w:rPr>
      </w:pPr>
      <w:r>
        <w:rPr>
          <w:rFonts w:hint="default" w:ascii="Times New Roman" w:hAnsi="Times New Roman" w:eastAsia="仿宋_GB2312" w:cs="Times New Roman"/>
          <w:sz w:val="30"/>
        </w:rPr>
        <w:t>2．机构设置</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仿宋_GB2312" w:cs="Times New Roman"/>
          <w:sz w:val="30"/>
        </w:rPr>
      </w:pPr>
      <w:r>
        <w:rPr>
          <w:rFonts w:hint="default" w:ascii="Times New Roman" w:hAnsi="Times New Roman" w:eastAsia="仿宋_GB2312" w:cs="Times New Roman"/>
          <w:sz w:val="30"/>
        </w:rPr>
        <w:t>区委组织部内设办公室、研究室、组织一科、组织二科、干部一科、干部二科、公务员科等7个科室，保留区委非公有制经济组织和社会组织工作委员会、区委基层党建工作领导小组办公室、区绩效考核工作办公室，加挂区委非公有制经济组织和社会组织工作委员会、区委老干部局、区公务员局牌子，区委党员教育中心（区委党员干部现代远程教育工作管理办公室）、区委干部档案信息管理中心2个参公事业单位和高层次人才服务中心1个事业单位为下属二级机构。</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黑体" w:cs="Times New Roman"/>
          <w:sz w:val="30"/>
        </w:rPr>
      </w:pPr>
      <w:r>
        <w:rPr>
          <w:rFonts w:hint="default" w:ascii="Times New Roman" w:hAnsi="Times New Roman" w:eastAsia="黑体" w:cs="Times New Roman"/>
          <w:sz w:val="30"/>
        </w:rPr>
        <w:t>二、部门（单位）预算管理及执行情况</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仿宋_GB2312" w:cs="Times New Roman"/>
          <w:sz w:val="30"/>
        </w:rPr>
      </w:pPr>
      <w:r>
        <w:rPr>
          <w:rFonts w:hint="default" w:ascii="Times New Roman" w:hAnsi="Times New Roman" w:eastAsia="仿宋_GB2312" w:cs="Times New Roman"/>
          <w:sz w:val="30"/>
        </w:rPr>
        <w:t>区委组织部只有本级</w:t>
      </w:r>
      <w:r>
        <w:rPr>
          <w:rFonts w:hint="eastAsia" w:ascii="Times New Roman" w:hAnsi="Times New Roman" w:cs="Times New Roman"/>
          <w:sz w:val="30"/>
          <w:lang w:eastAsia="zh-CN"/>
        </w:rPr>
        <w:t>预算</w:t>
      </w:r>
      <w:r>
        <w:rPr>
          <w:rFonts w:hint="default" w:ascii="Times New Roman" w:hAnsi="Times New Roman" w:eastAsia="仿宋_GB2312" w:cs="Times New Roman"/>
          <w:sz w:val="30"/>
        </w:rPr>
        <w:t>，没有其他二级预算单位，因此，纳入20</w:t>
      </w:r>
      <w:r>
        <w:rPr>
          <w:rFonts w:hint="default" w:ascii="Times New Roman" w:hAnsi="Times New Roman" w:cs="Times New Roman"/>
          <w:sz w:val="30"/>
          <w:lang w:val="en-US" w:eastAsia="zh-CN"/>
        </w:rPr>
        <w:t>19</w:t>
      </w:r>
      <w:r>
        <w:rPr>
          <w:rFonts w:hint="default" w:ascii="Times New Roman" w:hAnsi="Times New Roman" w:eastAsia="仿宋_GB2312" w:cs="Times New Roman"/>
          <w:sz w:val="30"/>
        </w:rPr>
        <w:t>年部门预算只有望城区委组织部本级。</w:t>
      </w:r>
      <w:r>
        <w:rPr>
          <w:rFonts w:hint="default" w:ascii="Times New Roman" w:hAnsi="Times New Roman" w:cs="Times New Roman"/>
          <w:sz w:val="30"/>
          <w:lang w:eastAsia="zh-CN"/>
        </w:rPr>
        <w:t>预算</w:t>
      </w:r>
      <w:r>
        <w:rPr>
          <w:rFonts w:hint="default" w:ascii="Times New Roman" w:hAnsi="Times New Roman" w:eastAsia="仿宋_GB2312" w:cs="Times New Roman"/>
          <w:sz w:val="30"/>
        </w:rPr>
        <w:t>收入主要为一般公共预算收入；</w:t>
      </w:r>
      <w:r>
        <w:rPr>
          <w:rFonts w:hint="default" w:ascii="Times New Roman" w:hAnsi="Times New Roman" w:cs="Times New Roman"/>
          <w:sz w:val="30"/>
          <w:lang w:eastAsia="zh-CN"/>
        </w:rPr>
        <w:t>预算</w:t>
      </w:r>
      <w:r>
        <w:rPr>
          <w:rFonts w:hint="default" w:ascii="Times New Roman" w:hAnsi="Times New Roman" w:eastAsia="仿宋_GB2312" w:cs="Times New Roman"/>
          <w:sz w:val="30"/>
        </w:rPr>
        <w:t>支出既包括保障部机关、部属参公事业单位和挂靠单位基本运行的经费，也包括由其归口管理的基层建设扶贫及基层组织建设经费、大学生村官管理工作经费、党员教育经费、绩效办工作经费等经费。</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cs="Times New Roman"/>
          <w:sz w:val="30"/>
          <w:lang w:val="en-US" w:eastAsia="zh-CN"/>
        </w:rPr>
      </w:pPr>
      <w:r>
        <w:rPr>
          <w:rFonts w:hint="default" w:ascii="Times New Roman" w:hAnsi="Times New Roman" w:cs="Times New Roman"/>
          <w:sz w:val="30"/>
          <w:lang w:val="en-US" w:eastAsia="zh-CN"/>
        </w:rPr>
        <w:t>2019年</w:t>
      </w:r>
      <w:r>
        <w:rPr>
          <w:rFonts w:hint="default" w:ascii="Times New Roman" w:hAnsi="Times New Roman" w:eastAsia="仿宋_GB2312" w:cs="Times New Roman"/>
          <w:sz w:val="30"/>
          <w:lang w:eastAsia="zh-CN"/>
        </w:rPr>
        <w:t>全年</w:t>
      </w:r>
      <w:r>
        <w:rPr>
          <w:rFonts w:hint="eastAsia" w:ascii="Times New Roman" w:hAnsi="Times New Roman" w:cs="Times New Roman"/>
          <w:sz w:val="30"/>
          <w:lang w:eastAsia="zh-CN"/>
        </w:rPr>
        <w:t>年初</w:t>
      </w:r>
      <w:r>
        <w:rPr>
          <w:rFonts w:hint="default" w:ascii="Times New Roman" w:hAnsi="Times New Roman" w:eastAsia="仿宋_GB2312" w:cs="Times New Roman"/>
          <w:sz w:val="30"/>
          <w:lang w:eastAsia="zh-CN"/>
        </w:rPr>
        <w:t>预算数</w:t>
      </w:r>
      <w:r>
        <w:rPr>
          <w:rFonts w:hint="default" w:ascii="Times New Roman" w:hAnsi="Times New Roman" w:cs="Times New Roman"/>
          <w:sz w:val="30"/>
          <w:lang w:eastAsia="zh-CN"/>
        </w:rPr>
        <w:t>为</w:t>
      </w:r>
      <w:r>
        <w:rPr>
          <w:rFonts w:hint="default" w:ascii="Times New Roman" w:hAnsi="Times New Roman" w:cs="Times New Roman"/>
          <w:sz w:val="30"/>
          <w:lang w:val="en-US" w:eastAsia="zh-CN"/>
        </w:rPr>
        <w:t>3297.92万元，</w:t>
      </w:r>
      <w:r>
        <w:rPr>
          <w:rFonts w:hint="eastAsia" w:ascii="Times New Roman" w:hAnsi="Times New Roman" w:cs="Times New Roman"/>
          <w:sz w:val="30"/>
          <w:lang w:val="en-US" w:eastAsia="zh-CN"/>
        </w:rPr>
        <w:t>调整预算数为1791.75</w:t>
      </w:r>
      <w:r>
        <w:rPr>
          <w:rFonts w:hint="default" w:ascii="Times New Roman" w:hAnsi="Times New Roman" w:cs="Times New Roman"/>
          <w:sz w:val="30"/>
          <w:lang w:val="en-US" w:eastAsia="zh-CN"/>
        </w:rPr>
        <w:t>全部由财政拨款。</w:t>
      </w:r>
      <w:r>
        <w:rPr>
          <w:rFonts w:hint="eastAsia" w:ascii="Times New Roman" w:hAnsi="Times New Roman" w:cs="Times New Roman"/>
          <w:sz w:val="30"/>
          <w:lang w:val="en-US" w:eastAsia="zh-CN"/>
        </w:rPr>
        <w:t>执行</w:t>
      </w:r>
      <w:r>
        <w:rPr>
          <w:rFonts w:hint="default" w:ascii="Times New Roman" w:hAnsi="Times New Roman" w:cs="Times New Roman"/>
          <w:sz w:val="30"/>
          <w:lang w:val="en-US" w:eastAsia="zh-CN"/>
        </w:rPr>
        <w:t>数为1791.7</w:t>
      </w:r>
      <w:r>
        <w:rPr>
          <w:rFonts w:hint="eastAsia" w:ascii="Times New Roman" w:hAnsi="Times New Roman" w:cs="Times New Roman"/>
          <w:sz w:val="30"/>
          <w:lang w:val="en-US" w:eastAsia="zh-CN"/>
        </w:rPr>
        <w:t>5</w:t>
      </w:r>
      <w:r>
        <w:rPr>
          <w:rFonts w:hint="default" w:ascii="Times New Roman" w:hAnsi="Times New Roman" w:cs="Times New Roman"/>
          <w:sz w:val="30"/>
          <w:lang w:val="en-US" w:eastAsia="zh-CN"/>
        </w:rPr>
        <w:t>万元，财政拨款1787.36万元，其他资金4.38万元。全年执行率为</w:t>
      </w:r>
      <w:r>
        <w:rPr>
          <w:rFonts w:hint="eastAsia" w:ascii="Times New Roman" w:hAnsi="Times New Roman" w:cs="Times New Roman"/>
          <w:sz w:val="30"/>
          <w:lang w:val="en-US" w:eastAsia="zh-CN"/>
        </w:rPr>
        <w:t>100</w:t>
      </w:r>
      <w:r>
        <w:rPr>
          <w:rFonts w:hint="default" w:ascii="Times New Roman" w:hAnsi="Times New Roman" w:cs="Times New Roman"/>
          <w:sz w:val="30"/>
          <w:lang w:val="en-US" w:eastAsia="zh-CN"/>
        </w:rPr>
        <w:t>%。从资金结构来看，基本支出预算数为835.26万元，执行数为835.26万元</w:t>
      </w:r>
      <w:r>
        <w:rPr>
          <w:rFonts w:hint="eastAsia" w:ascii="Times New Roman" w:hAnsi="Times New Roman" w:cs="Times New Roman"/>
          <w:sz w:val="30"/>
          <w:lang w:val="en-US" w:eastAsia="zh-CN"/>
        </w:rPr>
        <w:t>，执行率为100%</w:t>
      </w:r>
      <w:r>
        <w:rPr>
          <w:rFonts w:hint="default" w:ascii="Times New Roman" w:hAnsi="Times New Roman" w:cs="Times New Roman"/>
          <w:sz w:val="30"/>
          <w:lang w:val="en-US" w:eastAsia="zh-CN"/>
        </w:rPr>
        <w:t>；项目支出预算数为956.4</w:t>
      </w:r>
      <w:r>
        <w:rPr>
          <w:rFonts w:hint="eastAsia" w:ascii="Times New Roman" w:hAnsi="Times New Roman" w:cs="Times New Roman"/>
          <w:sz w:val="30"/>
          <w:lang w:val="en-US" w:eastAsia="zh-CN"/>
        </w:rPr>
        <w:t>9</w:t>
      </w:r>
      <w:r>
        <w:rPr>
          <w:rFonts w:hint="default" w:ascii="Times New Roman" w:hAnsi="Times New Roman" w:cs="Times New Roman"/>
          <w:sz w:val="30"/>
          <w:lang w:val="en-US" w:eastAsia="zh-CN"/>
        </w:rPr>
        <w:t>万元，执行数为956.4</w:t>
      </w:r>
      <w:r>
        <w:rPr>
          <w:rFonts w:hint="eastAsia" w:ascii="Times New Roman" w:hAnsi="Times New Roman" w:cs="Times New Roman"/>
          <w:sz w:val="30"/>
          <w:lang w:val="en-US" w:eastAsia="zh-CN"/>
        </w:rPr>
        <w:t>9</w:t>
      </w:r>
      <w:r>
        <w:rPr>
          <w:rFonts w:hint="default" w:ascii="Times New Roman" w:hAnsi="Times New Roman" w:cs="Times New Roman"/>
          <w:sz w:val="30"/>
          <w:lang w:val="en-US" w:eastAsia="zh-CN"/>
        </w:rPr>
        <w:t>万元</w:t>
      </w:r>
      <w:r>
        <w:rPr>
          <w:rFonts w:hint="eastAsia" w:ascii="Times New Roman" w:hAnsi="Times New Roman" w:cs="Times New Roman"/>
          <w:sz w:val="30"/>
          <w:lang w:val="en-US" w:eastAsia="zh-CN"/>
        </w:rPr>
        <w:t>，执行率为100%</w:t>
      </w:r>
      <w:r>
        <w:rPr>
          <w:rFonts w:hint="default" w:ascii="Times New Roman" w:hAnsi="Times New Roman" w:cs="Times New Roman"/>
          <w:sz w:val="30"/>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黑体" w:cs="Times New Roman"/>
          <w:sz w:val="30"/>
          <w:lang w:eastAsia="zh-CN"/>
        </w:rPr>
      </w:pPr>
      <w:r>
        <w:rPr>
          <w:rFonts w:hint="default" w:ascii="Times New Roman" w:hAnsi="Times New Roman" w:eastAsia="黑体" w:cs="Times New Roman"/>
          <w:sz w:val="30"/>
          <w:lang w:eastAsia="zh-CN"/>
        </w:rPr>
        <w:t>三、</w:t>
      </w:r>
      <w:r>
        <w:rPr>
          <w:rFonts w:hint="default" w:ascii="Times New Roman" w:hAnsi="Times New Roman" w:eastAsia="黑体" w:cs="Times New Roman"/>
          <w:sz w:val="30"/>
        </w:rPr>
        <w:t>部门（单位）</w:t>
      </w:r>
      <w:r>
        <w:rPr>
          <w:rFonts w:hint="default" w:ascii="Times New Roman" w:hAnsi="Times New Roman" w:eastAsia="黑体" w:cs="Times New Roman"/>
          <w:sz w:val="30"/>
          <w:lang w:eastAsia="zh-CN"/>
        </w:rPr>
        <w:t>资产管理情况</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cs="Times New Roman"/>
          <w:sz w:val="30"/>
          <w:lang w:val="en-US" w:eastAsia="zh-CN"/>
        </w:rPr>
      </w:pPr>
      <w:r>
        <w:rPr>
          <w:rFonts w:hint="default" w:ascii="Times New Roman" w:hAnsi="Times New Roman" w:cs="Times New Roman"/>
          <w:sz w:val="30"/>
          <w:lang w:val="en-US" w:eastAsia="zh-CN"/>
        </w:rPr>
        <w:t>2019年我单位国有资产仅有固定资产，期末原值413.26万元，较期初原值337.29万元，新增75.97万元，增长率为22.5%。期末净值为102.21万元，较期初净值38.87万元，新增63.34万元。</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cs="Times New Roman"/>
          <w:sz w:val="30"/>
          <w:lang w:val="en-US" w:eastAsia="zh-CN"/>
        </w:rPr>
      </w:pPr>
      <w:r>
        <w:rPr>
          <w:rFonts w:hint="default" w:ascii="Times New Roman" w:hAnsi="Times New Roman" w:cs="Times New Roman"/>
          <w:sz w:val="30"/>
          <w:lang w:val="en-US" w:eastAsia="zh-CN"/>
        </w:rPr>
        <w:t>固定资产期末通用设备净值为78.21万元，占总资产的77%，家具、用具、装具及动植物净值24万元，占总资产的23%，房屋净值为0、车辆净值为0。</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黑体" w:cs="Times New Roman"/>
          <w:sz w:val="30"/>
          <w:lang w:eastAsia="zh-CN"/>
        </w:rPr>
      </w:pPr>
      <w:r>
        <w:rPr>
          <w:rFonts w:hint="default" w:ascii="Times New Roman" w:hAnsi="Times New Roman" w:eastAsia="黑体" w:cs="Times New Roman"/>
          <w:sz w:val="30"/>
          <w:lang w:eastAsia="zh-CN"/>
        </w:rPr>
        <w:t>四、部门（单位）整体支出绩效目标及开展情况</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cs="Times New Roman"/>
          <w:sz w:val="30"/>
          <w:lang w:val="en-US" w:eastAsia="zh-CN"/>
        </w:rPr>
      </w:pPr>
      <w:r>
        <w:rPr>
          <w:rFonts w:hint="default" w:ascii="Times New Roman" w:hAnsi="Times New Roman" w:cs="Times New Roman"/>
          <w:sz w:val="30"/>
          <w:lang w:val="en-US" w:eastAsia="zh-CN"/>
        </w:rPr>
        <w:t>2019年初整体支出绩效目标主要包括，进一步激发干部队伍活力，加强全区各领域党建工作，集聚优秀人才。2019年绩效目标基本实现。2019年严格按照支出绩效评价指标体系内容开展绩效管理工作，财务状况更加公开、透明。</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cs="Times New Roman"/>
          <w:sz w:val="30"/>
          <w:lang w:val="en-US" w:eastAsia="zh-CN"/>
        </w:rPr>
      </w:pPr>
      <w:r>
        <w:rPr>
          <w:rFonts w:hint="default" w:ascii="Times New Roman" w:hAnsi="Times New Roman" w:cs="Times New Roman"/>
          <w:sz w:val="30"/>
          <w:lang w:val="en-US" w:eastAsia="zh-CN"/>
        </w:rPr>
        <w:t>严格执行中央和上级有关部门出台的财经纪律相关规定，严控</w:t>
      </w:r>
      <w:r>
        <w:rPr>
          <w:rFonts w:hint="eastAsia" w:ascii="Times New Roman" w:hAnsi="Times New Roman" w:cs="Times New Roman"/>
          <w:sz w:val="30"/>
          <w:lang w:val="en-US" w:eastAsia="zh-CN"/>
        </w:rPr>
        <w:t>“</w:t>
      </w:r>
      <w:r>
        <w:rPr>
          <w:rFonts w:hint="default" w:ascii="Times New Roman" w:hAnsi="Times New Roman" w:cs="Times New Roman"/>
          <w:sz w:val="30"/>
          <w:lang w:val="en-US" w:eastAsia="zh-CN"/>
        </w:rPr>
        <w:t>三公经费</w:t>
      </w:r>
      <w:r>
        <w:rPr>
          <w:rFonts w:hint="eastAsia" w:ascii="Times New Roman" w:hAnsi="Times New Roman" w:cs="Times New Roman"/>
          <w:sz w:val="30"/>
          <w:lang w:val="en-US" w:eastAsia="zh-CN"/>
        </w:rPr>
        <w:t>”</w:t>
      </w:r>
      <w:r>
        <w:rPr>
          <w:rFonts w:hint="default" w:ascii="Times New Roman" w:hAnsi="Times New Roman" w:cs="Times New Roman"/>
          <w:sz w:val="30"/>
          <w:lang w:val="en-US" w:eastAsia="zh-CN"/>
        </w:rPr>
        <w:t>、会议费、差旅费等支出。严格执行中央八项规定和财务管理制度，认真做好会计核算，做到账账相符、账实相符。按时将部门的预算等情况相关信息在望城区政务网公开上进行了公开。</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黑体" w:cs="Times New Roman"/>
          <w:sz w:val="30"/>
        </w:rPr>
      </w:pPr>
      <w:r>
        <w:rPr>
          <w:rFonts w:hint="default" w:ascii="Times New Roman" w:hAnsi="Times New Roman" w:eastAsia="黑体" w:cs="Times New Roman"/>
          <w:sz w:val="30"/>
          <w:lang w:eastAsia="zh-CN"/>
        </w:rPr>
        <w:t>五</w:t>
      </w:r>
      <w:r>
        <w:rPr>
          <w:rFonts w:hint="default" w:ascii="Times New Roman" w:hAnsi="Times New Roman" w:eastAsia="黑体" w:cs="Times New Roman"/>
          <w:sz w:val="30"/>
        </w:rPr>
        <w:t>、部门（单位）整体支出绩效实现情况</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eastAsia" w:ascii="Times New Roman" w:hAnsi="Times New Roman" w:eastAsia="仿宋_GB2312" w:cs="Times New Roman"/>
          <w:sz w:val="30"/>
          <w:lang w:val="en-US" w:eastAsia="zh-CN"/>
        </w:rPr>
      </w:pPr>
      <w:r>
        <w:rPr>
          <w:rFonts w:hint="eastAsia" w:ascii="Times New Roman" w:hAnsi="Times New Roman" w:cs="Times New Roman"/>
          <w:sz w:val="30"/>
          <w:lang w:val="en-US" w:eastAsia="zh-CN"/>
        </w:rPr>
        <w:t xml:space="preserve">1. </w:t>
      </w:r>
      <w:r>
        <w:rPr>
          <w:rFonts w:hint="default" w:ascii="Times New Roman" w:hAnsi="Times New Roman" w:eastAsia="仿宋_GB2312" w:cs="Times New Roman"/>
          <w:sz w:val="30"/>
        </w:rPr>
        <w:t>履职完成情况：</w:t>
      </w:r>
      <w:r>
        <w:rPr>
          <w:rFonts w:hint="eastAsia" w:ascii="Times New Roman" w:hAnsi="Times New Roman" w:cs="Times New Roman"/>
          <w:sz w:val="30"/>
          <w:lang w:eastAsia="zh-CN"/>
        </w:rPr>
        <w:t>单位整体支出</w:t>
      </w:r>
      <w:r>
        <w:rPr>
          <w:rFonts w:hint="eastAsia" w:ascii="Times New Roman" w:hAnsi="Times New Roman" w:cs="Times New Roman"/>
          <w:sz w:val="30"/>
          <w:lang w:val="en-US" w:eastAsia="zh-CN"/>
        </w:rPr>
        <w:t>1791.75万元，其中</w:t>
      </w:r>
      <w:r>
        <w:rPr>
          <w:rFonts w:hint="default" w:ascii="Times New Roman" w:hAnsi="Times New Roman" w:eastAsia="仿宋_GB2312" w:cs="Times New Roman"/>
          <w:sz w:val="30"/>
        </w:rPr>
        <w:t>一般行政管理事务</w:t>
      </w:r>
      <w:r>
        <w:rPr>
          <w:rFonts w:hint="eastAsia" w:ascii="Times New Roman" w:hAnsi="Times New Roman" w:cs="Times New Roman"/>
          <w:sz w:val="30"/>
          <w:lang w:eastAsia="zh-CN"/>
        </w:rPr>
        <w:t>支出</w:t>
      </w:r>
      <w:r>
        <w:rPr>
          <w:rFonts w:hint="eastAsia" w:ascii="Times New Roman" w:hAnsi="Times New Roman" w:cs="Times New Roman"/>
          <w:sz w:val="30"/>
          <w:lang w:val="en-US" w:eastAsia="zh-CN"/>
        </w:rPr>
        <w:t>48.6万元、组织事务支出1542.24万元，社会保障和就业支出68.55万元、卫生健康支出42.9万元、农林水支出34.52万元、住房保障支出54.94万元，基本完成年度目标。</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eastAsia" w:ascii="Times New Roman" w:hAnsi="Times New Roman" w:eastAsia="仿宋_GB2312" w:cs="Times New Roman"/>
          <w:sz w:val="30"/>
          <w:lang w:eastAsia="zh-CN"/>
        </w:rPr>
      </w:pPr>
      <w:r>
        <w:rPr>
          <w:rFonts w:hint="eastAsia" w:ascii="Times New Roman" w:hAnsi="Times New Roman" w:cs="Times New Roman"/>
          <w:sz w:val="30"/>
          <w:lang w:val="en-US" w:eastAsia="zh-CN"/>
        </w:rPr>
        <w:t xml:space="preserve">2. </w:t>
      </w:r>
      <w:r>
        <w:rPr>
          <w:rFonts w:hint="default" w:ascii="Times New Roman" w:hAnsi="Times New Roman" w:eastAsia="仿宋_GB2312" w:cs="Times New Roman"/>
          <w:sz w:val="30"/>
        </w:rPr>
        <w:t>履职效果情况：</w:t>
      </w:r>
      <w:r>
        <w:rPr>
          <w:rFonts w:hint="eastAsia" w:ascii="Times New Roman" w:hAnsi="Times New Roman" w:cs="Times New Roman"/>
          <w:sz w:val="30"/>
          <w:lang w:eastAsia="zh-CN"/>
        </w:rPr>
        <w:t>本部门履职及履职效益情况良好。对各项支出严格按照预算进行控制、厉行节约，各项工作按时完成，且质量较高，部门整体支出使用效果较好。</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仿宋_GB2312" w:cs="Times New Roman"/>
          <w:sz w:val="30"/>
        </w:rPr>
      </w:pPr>
      <w:r>
        <w:rPr>
          <w:rFonts w:hint="eastAsia" w:ascii="Times New Roman" w:hAnsi="Times New Roman" w:cs="Times New Roman"/>
          <w:sz w:val="30"/>
          <w:lang w:val="en-US" w:eastAsia="zh-CN"/>
        </w:rPr>
        <w:t xml:space="preserve">3. </w:t>
      </w:r>
      <w:r>
        <w:rPr>
          <w:rFonts w:hint="default" w:ascii="Times New Roman" w:hAnsi="Times New Roman" w:eastAsia="仿宋_GB2312" w:cs="Times New Roman"/>
          <w:sz w:val="30"/>
        </w:rPr>
        <w:t>社会满意度情况</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eastAsia" w:ascii="Times New Roman" w:hAnsi="Times New Roman" w:eastAsia="仿宋_GB2312" w:cs="Times New Roman"/>
          <w:sz w:val="30"/>
          <w:lang w:val="en-US" w:eastAsia="zh-CN"/>
        </w:rPr>
      </w:pPr>
      <w:r>
        <w:rPr>
          <w:rFonts w:hint="eastAsia" w:ascii="Times New Roman" w:hAnsi="Times New Roman" w:eastAsia="仿宋_GB2312" w:cs="Times New Roman"/>
          <w:sz w:val="30"/>
        </w:rPr>
        <w:t>经</w:t>
      </w:r>
      <w:r>
        <w:rPr>
          <w:rFonts w:hint="eastAsia" w:ascii="Times New Roman" w:hAnsi="Times New Roman" w:cs="Times New Roman"/>
          <w:sz w:val="30"/>
          <w:lang w:eastAsia="zh-CN"/>
        </w:rPr>
        <w:t>第</w:t>
      </w:r>
      <w:r>
        <w:rPr>
          <w:rFonts w:hint="eastAsia" w:ascii="Times New Roman" w:hAnsi="Times New Roman" w:eastAsia="仿宋_GB2312" w:cs="Times New Roman"/>
          <w:sz w:val="30"/>
        </w:rPr>
        <w:t>三方机构进行社会评估，社会满意度较高</w:t>
      </w:r>
      <w:r>
        <w:rPr>
          <w:rFonts w:hint="eastAsia" w:ascii="Times New Roman" w:hAnsi="Times New Roman" w:cs="Times New Roman"/>
          <w:sz w:val="30"/>
          <w:lang w:eastAsia="zh-CN"/>
        </w:rPr>
        <w:t>，全区排名靠前</w:t>
      </w:r>
      <w:r>
        <w:rPr>
          <w:rFonts w:hint="eastAsia" w:ascii="Times New Roman" w:hAnsi="Times New Roman" w:cs="Times New Roman"/>
          <w:sz w:val="30"/>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default" w:ascii="Times New Roman" w:hAnsi="Times New Roman" w:eastAsia="黑体" w:cs="Times New Roman"/>
          <w:sz w:val="30"/>
        </w:rPr>
      </w:pPr>
      <w:r>
        <w:rPr>
          <w:rFonts w:hint="eastAsia" w:ascii="Times New Roman" w:hAnsi="Times New Roman" w:eastAsia="黑体" w:cs="Times New Roman"/>
          <w:sz w:val="30"/>
          <w:lang w:eastAsia="zh-CN"/>
        </w:rPr>
        <w:t>六</w:t>
      </w:r>
      <w:r>
        <w:rPr>
          <w:rFonts w:hint="default" w:ascii="Times New Roman" w:hAnsi="Times New Roman" w:eastAsia="黑体" w:cs="Times New Roman"/>
          <w:sz w:val="30"/>
        </w:rPr>
        <w:t>、部门（单位）整体支出绩效中存在问题及改进措施</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eastAsia" w:ascii="Times New Roman" w:hAnsi="Times New Roman" w:cs="Times New Roman"/>
          <w:sz w:val="30"/>
          <w:lang w:val="en-US" w:eastAsia="zh-CN"/>
        </w:rPr>
      </w:pPr>
      <w:r>
        <w:rPr>
          <w:rFonts w:hint="eastAsia" w:ascii="Times New Roman" w:hAnsi="Times New Roman" w:cs="Times New Roman"/>
          <w:sz w:val="30"/>
          <w:lang w:val="en-US" w:eastAsia="zh-CN"/>
        </w:rPr>
        <w:t>部门整体支出部分绩效信息的收集和汇总分析不充分，缺少项目决策、过程管理和具体效果等资源，致使整体绩效评价依据不充分。绩效评价沟通需进一步加强，绩效管理意识和水平还不够，各机构和部门之间的沟通与配合需进一步加强。针对绩效管理中存在的问题，主要从一下几方面进行改进。</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eastAsia" w:ascii="Times New Roman" w:hAnsi="Times New Roman" w:cs="Times New Roman"/>
          <w:sz w:val="30"/>
          <w:lang w:val="en-US" w:eastAsia="zh-CN"/>
        </w:rPr>
      </w:pPr>
      <w:r>
        <w:rPr>
          <w:rFonts w:hint="eastAsia" w:ascii="Times New Roman" w:hAnsi="Times New Roman" w:cs="Times New Roman"/>
          <w:sz w:val="30"/>
          <w:lang w:val="en-US" w:eastAsia="zh-CN"/>
        </w:rPr>
        <w:t>1. 实施全覆盖预算绩效管理，细化以后年度预算编制工作，认真做好预算的编制。进一步加强单位内部机构的预算管理意识，严格按照预算编制的相关制度和要求进行预算编制。</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rPr>
          <w:rFonts w:hint="eastAsia" w:ascii="Times New Roman" w:hAnsi="Times New Roman" w:cs="Times New Roman"/>
          <w:sz w:val="30"/>
          <w:lang w:val="en-US" w:eastAsia="zh-CN"/>
        </w:rPr>
      </w:pPr>
      <w:r>
        <w:rPr>
          <w:rFonts w:hint="eastAsia" w:ascii="Times New Roman" w:hAnsi="Times New Roman" w:cs="Times New Roman"/>
          <w:sz w:val="30"/>
          <w:lang w:val="en-US" w:eastAsia="zh-CN"/>
        </w:rPr>
        <w:t>2. 加强财务管理，严格财务审核。加强单位财务管理，完善财务管理制度，规范财务行为。按照预算规定的费用项目和用途进行资金使用审核、列报支付、财务核算，杜绝超支现象的发生。</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outlineLvl w:val="9"/>
      </w:pPr>
      <w:r>
        <w:rPr>
          <w:rFonts w:hint="eastAsia" w:ascii="Times New Roman" w:hAnsi="Times New Roman" w:cs="Times New Roman"/>
          <w:sz w:val="30"/>
          <w:lang w:val="en-US" w:eastAsia="zh-CN"/>
        </w:rPr>
        <w:t>3. 完善资产管理。规范各类资产的购置审批制度、资产处置和报废审批制度、资产管理岗位职责制度等，加强单位内部的资产管理工作。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77759F"/>
    <w:rsid w:val="0FD93E91"/>
    <w:rsid w:val="1D77759F"/>
    <w:rsid w:val="65D13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2020-08-26T11:17:00Z</dcterms:created>
  <dc:creator>Administrator</dc:creator>
  <cp:lastModifiedBy>Administrator</cp:lastModifiedBy>
  <dcterms:modified xsi:type="dcterms:W3CDTF">2020-08-27T00:06:57Z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