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rPr>
        <w:t>高塘岭街道部门决算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第一部分高塘岭街道概况</w:t>
      </w:r>
    </w:p>
    <w:p>
      <w:pPr>
        <w:pStyle w:val="10"/>
        <w:numPr>
          <w:ilvl w:val="0"/>
          <w:numId w:val="1"/>
        </w:numPr>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部门职责</w:t>
      </w:r>
    </w:p>
    <w:p>
      <w:pPr>
        <w:pStyle w:val="10"/>
        <w:numPr>
          <w:ilvl w:val="0"/>
          <w:numId w:val="1"/>
        </w:numPr>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机构设置</w:t>
      </w:r>
      <w:r>
        <w:rPr>
          <w:rFonts w:hint="eastAsia" w:cs="仿宋_GB2312" w:asciiTheme="minorEastAsia" w:hAnsiTheme="minorEastAsia" w:eastAsiaTheme="minorEastAsia"/>
          <w:sz w:val="28"/>
          <w:szCs w:val="28"/>
          <w:lang w:eastAsia="zh-CN"/>
        </w:rPr>
        <w:t>及决算单位构成</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lang w:eastAsia="zh-CN"/>
        </w:rPr>
        <w:t>九</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sz w:val="84"/>
          <w:szCs w:val="84"/>
        </w:rPr>
      </w:pPr>
      <w:r>
        <w:rPr>
          <w:rFonts w:hint="eastAsia"/>
          <w:sz w:val="84"/>
          <w:szCs w:val="84"/>
        </w:rPr>
        <w:t>高塘岭街道概况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numPr>
          <w:ilvl w:val="0"/>
          <w:numId w:val="2"/>
        </w:numPr>
        <w:ind w:firstLineChars="0"/>
        <w:jc w:val="left"/>
        <w:rPr>
          <w:rFonts w:ascii="黑体" w:hAnsi="黑体" w:eastAsia="黑体"/>
          <w:sz w:val="32"/>
          <w:szCs w:val="32"/>
        </w:rPr>
      </w:pPr>
      <w:r>
        <w:rPr>
          <w:rFonts w:ascii="黑体" w:hAnsi="黑体" w:eastAsia="黑体"/>
          <w:sz w:val="32"/>
          <w:szCs w:val="32"/>
        </w:rPr>
        <w:t>部门职责</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1、执行上级国家行政机关的决定、命令和国家制定的法令、法规，接受同级党委的领导，执行本级人民代表大会的各项决议，并报告执行决议、决定和命令的情况。</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2、制定并落实本行政区域的经济计划和措施，促进产业结构调整及其他经济保持平衡协调发展，全面提高人民群众的生活水平和生活质量。</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3、承担国有资产、集体资产管理、监督及增值保值责任;保护公民私人所有合法财产，保障集体经济组织应有的自主权;监督企业和各种经济联合体、个体户认真执行国家的法律、法令和政策，履行经济合同。</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4、开展社会主义民主和法制的宣传教育，保障公民的权利;制定社会治安综合治理工作规划并组织实施;加强社区管理工作，依法管理外来流动人口，处理人民来信来访，调解民间纠纷，打击违法犯罪，维护社会稳定。</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5、制定社会各项事业发展计划，发展教育、卫生、科技、民政、广播电视、文化、体育事业;组织实施义务教育和其他各类教育;加强计划生育工作;推进社会保障、社会福利事业和养老保险工作;做好劳动管理、科普、老龄及宗教、侨务等工作。</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6、加强镇级财政的监督和管理，按计划组织、管理镇财政收入和支出，执行国家有关财经纪律和政策，保证国家财政收入的完成;做好统计工作。</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7、指导、支持、帮助村(居)民委员会的组织制度建设和业务建设，促进村(居)民委员会民-主自治。</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8、制定和组织实施镇村建设规划;加强公用、市政设施、水利建设和管理以及房屋土地管理和环境综合整治工作，保护和改善生活环境和生态环境。</w:t>
      </w:r>
    </w:p>
    <w:p>
      <w:pPr>
        <w:widowControl/>
        <w:spacing w:line="560" w:lineRule="exact"/>
        <w:ind w:firstLine="627" w:firstLineChars="196"/>
        <w:rPr>
          <w:rFonts w:ascii="仿宋_GB2312" w:eastAsia="仿宋_GB2312"/>
          <w:sz w:val="32"/>
          <w:szCs w:val="32"/>
        </w:rPr>
      </w:pPr>
      <w:r>
        <w:rPr>
          <w:rFonts w:hint="eastAsia" w:ascii="仿宋_GB2312" w:eastAsia="仿宋_GB2312"/>
          <w:sz w:val="32"/>
          <w:szCs w:val="32"/>
        </w:rPr>
        <w:t>9、协助和支持设置在本行政区域内不隶属于镇的国家机关和企事业单位工作，监督其遵守和执行国家的法律、法规和政策。</w:t>
      </w:r>
    </w:p>
    <w:p>
      <w:pPr>
        <w:widowControl/>
        <w:spacing w:line="560" w:lineRule="exact"/>
        <w:ind w:firstLine="627" w:firstLineChars="196"/>
        <w:rPr>
          <w:rFonts w:cs="仿宋_GB2312" w:asciiTheme="minorEastAsia" w:hAnsiTheme="minorEastAsia"/>
          <w:sz w:val="28"/>
          <w:szCs w:val="28"/>
        </w:rPr>
      </w:pPr>
      <w:r>
        <w:rPr>
          <w:rFonts w:hint="eastAsia" w:ascii="仿宋_GB2312" w:eastAsia="仿宋_GB2312"/>
          <w:sz w:val="32"/>
          <w:szCs w:val="32"/>
        </w:rPr>
        <w:t>10、承办区人民政府交办的其它事项。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snapToGrid w:val="0"/>
        <w:spacing w:line="5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1、机构设置</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高塘岭街道办事处现辖西塘街、高塘岭、雷锋路、白芙塘、斑马湖、望府路、航运、新康、莲湖、高塘、中南、湘陵12个社区和胜利、裕农、长联、新阳、新河、湘江、月圆、名盛、六合围9个行政村，总面积69.07平方公里，总人口约14万人。街道目前共有在职在编人员118人，</w:t>
      </w:r>
      <w:r>
        <w:rPr>
          <w:rFonts w:hint="eastAsia" w:ascii="仿宋_GB2312" w:eastAsia="仿宋_GB2312"/>
          <w:sz w:val="32"/>
          <w:szCs w:val="32"/>
        </w:rPr>
        <w:t>企业招工人员</w:t>
      </w:r>
      <w:r>
        <w:rPr>
          <w:rFonts w:hint="eastAsia" w:ascii="仿宋_GB2312" w:hAnsi="仿宋" w:eastAsia="仿宋_GB2312"/>
          <w:sz w:val="32"/>
          <w:szCs w:val="32"/>
        </w:rPr>
        <w:t>5人，区人社局派驻1人，军队转业安置人员2人，临聘人员80人。</w:t>
      </w:r>
    </w:p>
    <w:p>
      <w:pPr>
        <w:numPr>
          <w:ilvl w:val="0"/>
          <w:numId w:val="3"/>
        </w:numPr>
        <w:snapToGrid w:val="0"/>
        <w:spacing w:line="5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决算单位构成</w:t>
      </w:r>
    </w:p>
    <w:p>
      <w:pPr>
        <w:numPr>
          <w:ilvl w:val="0"/>
          <w:numId w:val="0"/>
        </w:numPr>
        <w:snapToGrid w:val="0"/>
        <w:spacing w:line="5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纳入2019年街道决算编制范围的机构包括：</w:t>
      </w:r>
    </w:p>
    <w:p>
      <w:pPr>
        <w:numPr>
          <w:ilvl w:val="0"/>
          <w:numId w:val="0"/>
        </w:numPr>
        <w:snapToGrid w:val="0"/>
        <w:spacing w:line="520" w:lineRule="exact"/>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（1）高塘岭街道机关</w:t>
      </w:r>
    </w:p>
    <w:p>
      <w:pPr>
        <w:numPr>
          <w:ilvl w:val="0"/>
          <w:numId w:val="0"/>
        </w:numPr>
        <w:snapToGrid w:val="0"/>
        <w:spacing w:line="520" w:lineRule="exact"/>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（2）归高塘岭街道管理的下属事业单位</w:t>
      </w:r>
    </w:p>
    <w:p>
      <w:pPr>
        <w:numPr>
          <w:ilvl w:val="0"/>
          <w:numId w:val="0"/>
        </w:numPr>
        <w:snapToGrid w:val="0"/>
        <w:spacing w:line="520" w:lineRule="exact"/>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下属单位为街道内设部门，收入和支出归口机关管理。</w:t>
      </w:r>
    </w:p>
    <w:p>
      <w:pPr>
        <w:jc w:val="left"/>
        <w:rPr>
          <w:rFonts w:ascii="仿宋_GB2312" w:eastAsia="仿宋_GB2312" w:hAnsiTheme="minorEastAsia"/>
          <w:sz w:val="28"/>
          <w:szCs w:val="32"/>
        </w:rPr>
      </w:pPr>
    </w:p>
    <w:p>
      <w:pPr>
        <w:rPr>
          <w:rFonts w:ascii="黑体" w:hAnsi="黑体" w:eastAsia="黑体"/>
          <w:sz w:val="28"/>
          <w:szCs w:val="28"/>
        </w:rPr>
      </w:pPr>
    </w:p>
    <w:p>
      <w:pPr>
        <w:jc w:val="both"/>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jc w:val="center"/>
        <w:rPr>
          <w:rFonts w:ascii="黑体" w:hAnsi="黑体" w:eastAsia="黑体"/>
          <w:sz w:val="36"/>
          <w:szCs w:val="32"/>
        </w:rPr>
      </w:pPr>
      <w:r>
        <w:rPr>
          <w:rFonts w:hint="eastAsia" w:ascii="黑体" w:hAnsi="黑体" w:eastAsia="黑体"/>
          <w:sz w:val="36"/>
          <w:szCs w:val="32"/>
        </w:rPr>
        <w:t>收入支出决算总表</w:t>
      </w:r>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部门：高塘岭街道公开</w:t>
      </w:r>
      <w:r>
        <w:rPr>
          <w:rFonts w:ascii="Times New Roman" w:hAnsi="Times New Roman" w:eastAsia="仿宋_GB2312" w:cs="Times New Roman"/>
          <w:color w:val="000000"/>
          <w:kern w:val="0"/>
          <w:szCs w:val="21"/>
        </w:rPr>
        <w:t>01</w:t>
      </w:r>
      <w:r>
        <w:rPr>
          <w:rFonts w:hint="eastAsia" w:ascii="Times New Roman" w:hAnsi="Times New Roman" w:eastAsia="仿宋_GB2312" w:cs="Times New Roman"/>
          <w:color w:val="000000"/>
          <w:kern w:val="0"/>
          <w:szCs w:val="21"/>
        </w:rPr>
        <w:t>表</w:t>
      </w:r>
    </w:p>
    <w:p>
      <w:pPr>
        <w:widowControl/>
        <w:spacing w:line="320" w:lineRule="exact"/>
        <w:ind w:right="198"/>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单位：万元</w:t>
      </w:r>
    </w:p>
    <w:tbl>
      <w:tblPr>
        <w:tblStyle w:val="6"/>
        <w:tblW w:w="14061" w:type="dxa"/>
        <w:jc w:val="center"/>
        <w:tblLayout w:type="fixed"/>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收入</w:t>
            </w:r>
          </w:p>
        </w:tc>
        <w:tc>
          <w:tcPr>
            <w:tcW w:w="7203"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项目</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22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c>
          <w:tcPr>
            <w:tcW w:w="48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项目</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68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栏次</w:t>
            </w:r>
          </w:p>
        </w:tc>
        <w:tc>
          <w:tcPr>
            <w:tcW w:w="702" w:type="dxa"/>
            <w:tcBorders>
              <w:top w:val="nil"/>
              <w:left w:val="nil"/>
              <w:bottom w:val="single" w:color="auto" w:sz="4" w:space="0"/>
              <w:right w:val="single" w:color="auto" w:sz="4" w:space="0"/>
            </w:tcBorders>
            <w:vAlign w:val="center"/>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48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栏次</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8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一、一般公共预算财政拨款收入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4"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21,486.94</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一、一般公共服务支出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14</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5,076.88</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二、政府性基金预算财政拨款收入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4"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1,436.24</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二、外交支出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15</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三、上级补助收入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三、国防支出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16</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121.00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四、事业收入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四、公共安全支出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17</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86.48</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五、经营收入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五、教育支出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18</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22.88</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六、附属单位上缴收入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六、科学技术支出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19</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1,015.09</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七、其他收入</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4"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2,391.65</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七、文化旅游体育与传媒支出</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20</w:t>
            </w:r>
          </w:p>
        </w:tc>
        <w:tc>
          <w:tcPr>
            <w:tcW w:w="1681"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243.47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21</w:t>
            </w:r>
          </w:p>
        </w:tc>
        <w:tc>
          <w:tcPr>
            <w:tcW w:w="168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本年收入合计</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4"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25,314.82</w:t>
            </w:r>
          </w:p>
        </w:tc>
        <w:tc>
          <w:tcPr>
            <w:tcW w:w="48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本年支出合计</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22</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25,314.82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用事业基金弥补收支差额</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结余分配</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23</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年初结转和结余</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年末结转和结余</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24</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c>
          <w:tcPr>
            <w:tcW w:w="1224"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20"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25</w:t>
            </w:r>
          </w:p>
        </w:tc>
        <w:tc>
          <w:tcPr>
            <w:tcW w:w="1681"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13</w:t>
            </w:r>
          </w:p>
        </w:tc>
        <w:tc>
          <w:tcPr>
            <w:tcW w:w="1224"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25,314.82</w:t>
            </w:r>
          </w:p>
        </w:tc>
        <w:tc>
          <w:tcPr>
            <w:tcW w:w="48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26</w:t>
            </w:r>
          </w:p>
        </w:tc>
        <w:tc>
          <w:tcPr>
            <w:tcW w:w="1681" w:type="dxa"/>
            <w:tcBorders>
              <w:top w:val="nil"/>
              <w:left w:val="nil"/>
              <w:bottom w:val="single" w:color="auto" w:sz="4" w:space="0"/>
              <w:right w:val="single" w:color="auto" w:sz="4" w:space="0"/>
            </w:tcBorders>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25,314.82</w:t>
            </w:r>
          </w:p>
        </w:tc>
      </w:tr>
    </w:tbl>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注：本表反映部门本年度的总收支和年末结转结余情况。</w:t>
      </w: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收入决算表</w:t>
      </w:r>
    </w:p>
    <w:p>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高塘岭街道</w:t>
      </w:r>
      <w:r>
        <w:rPr>
          <w:rFonts w:ascii="Times New Roman" w:hAnsi="Times New Roman" w:eastAsia="仿宋_GB2312" w:cs="Times New Roman"/>
          <w:color w:val="000000"/>
          <w:kern w:val="0"/>
          <w:szCs w:val="21"/>
        </w:rPr>
        <w:t xml:space="preserve"> 公开02表</w:t>
      </w:r>
    </w:p>
    <w:p>
      <w:pPr>
        <w:widowControl/>
        <w:ind w:right="63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3813" w:type="dxa"/>
        <w:jc w:val="center"/>
        <w:tblLayout w:type="fixed"/>
        <w:tblCellMar>
          <w:top w:w="0" w:type="dxa"/>
          <w:left w:w="108" w:type="dxa"/>
          <w:bottom w:w="0" w:type="dxa"/>
          <w:right w:w="108" w:type="dxa"/>
        </w:tblCellMar>
      </w:tblPr>
      <w:tblGrid>
        <w:gridCol w:w="1197"/>
        <w:gridCol w:w="1188"/>
        <w:gridCol w:w="1676"/>
        <w:gridCol w:w="1595"/>
        <w:gridCol w:w="1676"/>
        <w:gridCol w:w="1382"/>
        <w:gridCol w:w="1412"/>
        <w:gridCol w:w="1676"/>
        <w:gridCol w:w="2011"/>
      </w:tblGrid>
      <w:tr>
        <w:tblPrEx>
          <w:tblCellMar>
            <w:top w:w="0" w:type="dxa"/>
            <w:left w:w="108" w:type="dxa"/>
            <w:bottom w:w="0" w:type="dxa"/>
            <w:right w:w="108" w:type="dxa"/>
          </w:tblCellMar>
        </w:tblPrEx>
        <w:trPr>
          <w:trHeight w:val="450" w:hRule="atLeast"/>
          <w:jc w:val="center"/>
        </w:trPr>
        <w:tc>
          <w:tcPr>
            <w:tcW w:w="2385"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本年收入合计</w:t>
            </w:r>
          </w:p>
        </w:tc>
        <w:tc>
          <w:tcPr>
            <w:tcW w:w="1595"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财政拨款收入</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上级补助收入</w:t>
            </w:r>
          </w:p>
        </w:tc>
        <w:tc>
          <w:tcPr>
            <w:tcW w:w="138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事业收入</w:t>
            </w:r>
          </w:p>
        </w:tc>
        <w:tc>
          <w:tcPr>
            <w:tcW w:w="141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经营收入</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附属单位上缴收入</w:t>
            </w:r>
          </w:p>
        </w:tc>
        <w:tc>
          <w:tcPr>
            <w:tcW w:w="2011" w:type="dxa"/>
            <w:vMerge w:val="restart"/>
            <w:tcBorders>
              <w:top w:val="single" w:color="auto" w:sz="8" w:space="0"/>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其他收入</w:t>
            </w:r>
          </w:p>
        </w:tc>
      </w:tr>
      <w:tr>
        <w:tblPrEx>
          <w:tblCellMar>
            <w:top w:w="0" w:type="dxa"/>
            <w:left w:w="108" w:type="dxa"/>
            <w:bottom w:w="0" w:type="dxa"/>
            <w:right w:w="108" w:type="dxa"/>
          </w:tblCellMar>
        </w:tblPrEx>
        <w:trPr>
          <w:trHeight w:val="450" w:hRule="atLeast"/>
          <w:jc w:val="center"/>
        </w:trPr>
        <w:tc>
          <w:tcPr>
            <w:tcW w:w="1197"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118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9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38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4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011"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197" w:type="dxa"/>
            <w:vMerge w:val="continue"/>
            <w:tcBorders>
              <w:top w:val="single" w:color="auto" w:sz="4" w:space="0"/>
              <w:left w:val="single" w:color="auto" w:sz="8" w:space="0"/>
              <w:bottom w:val="single" w:color="000000" w:sz="4" w:space="0"/>
              <w:right w:val="nil"/>
            </w:tcBorders>
            <w:vAlign w:val="center"/>
          </w:tcPr>
          <w:p>
            <w:pPr>
              <w:widowControl/>
              <w:jc w:val="left"/>
              <w:rPr>
                <w:rFonts w:ascii="Times New Roman" w:hAnsi="Times New Roman" w:eastAsia="仿宋_GB2312" w:cs="Times New Roman"/>
                <w:kern w:val="0"/>
                <w:szCs w:val="21"/>
              </w:rPr>
            </w:pPr>
          </w:p>
        </w:tc>
        <w:tc>
          <w:tcPr>
            <w:tcW w:w="118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9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38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4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011"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2385" w:type="dxa"/>
            <w:gridSpan w:val="2"/>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67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9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67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38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67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2011"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r>
      <w:tr>
        <w:tblPrEx>
          <w:tblCellMar>
            <w:top w:w="0" w:type="dxa"/>
            <w:left w:w="108" w:type="dxa"/>
            <w:bottom w:w="0" w:type="dxa"/>
            <w:right w:w="108" w:type="dxa"/>
          </w:tblCellMar>
        </w:tblPrEx>
        <w:trPr>
          <w:trHeight w:val="450" w:hRule="atLeast"/>
          <w:jc w:val="center"/>
        </w:trPr>
        <w:tc>
          <w:tcPr>
            <w:tcW w:w="2385" w:type="dxa"/>
            <w:gridSpan w:val="2"/>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25314.82</w:t>
            </w: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22923.17</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2391.65</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8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8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8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8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8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5"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8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88"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5"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8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11"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15" w:hRule="atLeast"/>
          <w:jc w:val="center"/>
        </w:trPr>
        <w:tc>
          <w:tcPr>
            <w:tcW w:w="13813" w:type="dxa"/>
            <w:gridSpan w:val="9"/>
            <w:tcBorders>
              <w:top w:val="single" w:color="auto" w:sz="8"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支出决算表</w:t>
      </w:r>
    </w:p>
    <w:p>
      <w:pPr>
        <w:widowControl/>
        <w:spacing w:line="400" w:lineRule="exact"/>
        <w:ind w:firstLine="600" w:firstLineChars="300"/>
        <w:jc w:val="lef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 xml:space="preserve">部门：  </w:t>
      </w:r>
      <w:r>
        <w:rPr>
          <w:rFonts w:hint="eastAsia" w:ascii="Times New Roman" w:hAnsi="Times New Roman" w:eastAsia="仿宋_GB2312" w:cs="Times New Roman"/>
          <w:color w:val="000000"/>
          <w:kern w:val="0"/>
          <w:szCs w:val="21"/>
        </w:rPr>
        <w:t>高塘岭街道</w:t>
      </w:r>
      <w:r>
        <w:rPr>
          <w:rFonts w:ascii="Times New Roman" w:hAnsi="Times New Roman" w:eastAsia="仿宋_GB2312" w:cs="Times New Roman"/>
          <w:color w:val="000000"/>
          <w:kern w:val="0"/>
          <w:sz w:val="20"/>
          <w:szCs w:val="20"/>
        </w:rPr>
        <w:t xml:space="preserve">                                                                                                                 公开03表</w:t>
      </w:r>
    </w:p>
    <w:p>
      <w:pPr>
        <w:widowControl/>
        <w:spacing w:line="400" w:lineRule="exact"/>
        <w:ind w:right="700"/>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单位：万元</w:t>
      </w:r>
    </w:p>
    <w:tbl>
      <w:tblPr>
        <w:tblStyle w:val="6"/>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1249"/>
        <w:gridCol w:w="1775"/>
        <w:gridCol w:w="1985"/>
        <w:gridCol w:w="1842"/>
        <w:gridCol w:w="1843"/>
        <w:gridCol w:w="1985"/>
        <w:gridCol w:w="23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351"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77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本年支出合计</w:t>
            </w:r>
          </w:p>
        </w:tc>
        <w:tc>
          <w:tcPr>
            <w:tcW w:w="198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基本支出</w:t>
            </w:r>
          </w:p>
        </w:tc>
        <w:tc>
          <w:tcPr>
            <w:tcW w:w="1842"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项目支出</w:t>
            </w:r>
          </w:p>
        </w:tc>
        <w:tc>
          <w:tcPr>
            <w:tcW w:w="1843"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上缴上级支出</w:t>
            </w:r>
          </w:p>
        </w:tc>
        <w:tc>
          <w:tcPr>
            <w:tcW w:w="1985"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经营支出</w:t>
            </w:r>
          </w:p>
        </w:tc>
        <w:tc>
          <w:tcPr>
            <w:tcW w:w="2308"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1249"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77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3"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2308"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249"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77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843"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985"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2308"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351"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7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98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42"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43"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98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308"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351"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25314.82</w:t>
            </w: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3999.77</w:t>
            </w: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21315.05</w:t>
            </w: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4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4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4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4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4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4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7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08"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ind w:firstLine="630" w:firstLineChars="3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注：本表反映部门本年度各项支出情况。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ind w:left="93"/>
        <w:jc w:val="cente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t>财政拨款收入支出决算总表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公开04表</w:t>
      </w:r>
    </w:p>
    <w:p>
      <w:pPr>
        <w:widowControl/>
        <w:tabs>
          <w:tab w:val="left" w:pos="13725"/>
          <w:tab w:val="left" w:pos="13755"/>
          <w:tab w:val="left" w:pos="13800"/>
        </w:tabs>
        <w:spacing w:line="240" w:lineRule="exact"/>
        <w:ind w:left="91" w:firstLine="315" w:firstLineChars="1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高塘岭街道</w:t>
      </w:r>
      <w:r>
        <w:rPr>
          <w:rFonts w:ascii="Times New Roman" w:hAnsi="Times New Roman" w:eastAsia="仿宋_GB2312" w:cs="Times New Roman"/>
          <w:color w:val="000000"/>
          <w:kern w:val="0"/>
          <w:szCs w:val="21"/>
        </w:rPr>
        <w:tab/>
      </w:r>
      <w:r>
        <w:rPr>
          <w:rFonts w:ascii="Times New Roman" w:hAnsi="Times New Roman" w:eastAsia="仿宋_GB2312" w:cs="Times New Roman"/>
          <w:color w:val="000000"/>
          <w:kern w:val="0"/>
          <w:szCs w:val="21"/>
        </w:rPr>
        <w:t>单位：万元</w:t>
      </w:r>
    </w:p>
    <w:tbl>
      <w:tblPr>
        <w:tblStyle w:val="6"/>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收入</w:t>
            </w:r>
          </w:p>
        </w:tc>
        <w:tc>
          <w:tcPr>
            <w:tcW w:w="9303" w:type="dxa"/>
            <w:gridSpan w:val="5"/>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8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金额</w:t>
            </w:r>
          </w:p>
        </w:tc>
        <w:tc>
          <w:tcPr>
            <w:tcW w:w="3761"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3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合计</w:t>
            </w:r>
          </w:p>
        </w:tc>
        <w:tc>
          <w:tcPr>
            <w:tcW w:w="166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一般公共预算财政拨款</w:t>
            </w:r>
          </w:p>
        </w:tc>
        <w:tc>
          <w:tcPr>
            <w:tcW w:w="1572"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1"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66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572"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一、一般公共预算财政拨款</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21486.94</w:t>
            </w: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一、一般公共服务支出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15</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5076.88</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5076.88</w:t>
            </w: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二、政府性基金预算财政拨款</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1436.24</w:t>
            </w: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二、外交支出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16</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宋体" w:hAnsi="宋体" w:eastAsia="宋体" w:cs="宋体"/>
                <w:color w:val="000000"/>
                <w:kern w:val="0"/>
                <w:sz w:val="22"/>
              </w:rPr>
              <w:t>0.00</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三、国防支出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17</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121.00</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121.00</w:t>
            </w: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四、公共安全支出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18</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86.48</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86.48</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五、教育支出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19</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22.88</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22.88</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六、科学技术支出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20</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1015.09</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1015.09</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七、文化旅游体育与传媒支出</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21</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243.47</w:t>
            </w: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243.47</w:t>
            </w: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8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22</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本年收入合计</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22923.17</w:t>
            </w:r>
            <w:r>
              <w:rPr>
                <w:rFonts w:ascii="Times New Roman" w:hAnsi="Times New Roman" w:eastAsia="仿宋_GB2312" w:cs="Times New Roman"/>
                <w:kern w:val="0"/>
                <w:szCs w:val="21"/>
              </w:rPr>
              <w:t>　</w:t>
            </w:r>
          </w:p>
        </w:tc>
        <w:tc>
          <w:tcPr>
            <w:tcW w:w="3761" w:type="dxa"/>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本年支出合计</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23</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22923.17</w:t>
            </w: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年初财政拨款结转和结余</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3761"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年末财政拨款结转和结余</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24</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w:t>
            </w:r>
            <w:r>
              <w:rPr>
                <w:rFonts w:ascii="Times New Roman" w:hAnsi="Times New Roman" w:eastAsia="仿宋_GB2312" w:cs="Times New Roman"/>
                <w:kern w:val="0"/>
                <w:szCs w:val="21"/>
              </w:rPr>
              <w:t>一般公共预算财政拨款</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25</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w:t>
            </w:r>
            <w:r>
              <w:rPr>
                <w:rFonts w:ascii="Times New Roman" w:hAnsi="Times New Roman" w:eastAsia="仿宋_GB2312" w:cs="Times New Roman"/>
                <w:kern w:val="0"/>
                <w:szCs w:val="21"/>
              </w:rPr>
              <w:t>政府性基金预算财政拨款</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color w:val="000000"/>
                <w:kern w:val="0"/>
                <w:sz w:val="22"/>
              </w:rPr>
              <w:t>0.00</w:t>
            </w: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26</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13</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27</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14</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22923.17</w:t>
            </w:r>
            <w:r>
              <w:rPr>
                <w:rFonts w:ascii="Times New Roman" w:hAnsi="Times New Roman" w:eastAsia="仿宋_GB2312" w:cs="Times New Roman"/>
                <w:kern w:val="0"/>
                <w:szCs w:val="21"/>
              </w:rPr>
              <w:t>　</w:t>
            </w:r>
          </w:p>
        </w:tc>
        <w:tc>
          <w:tcPr>
            <w:tcW w:w="3761" w:type="dxa"/>
            <w:shd w:val="clear" w:color="auto" w:fill="auto"/>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28</w:t>
            </w:r>
          </w:p>
        </w:tc>
        <w:tc>
          <w:tcPr>
            <w:tcW w:w="18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22923.17</w:t>
            </w:r>
            <w:r>
              <w:rPr>
                <w:rFonts w:ascii="Times New Roman" w:hAnsi="Times New Roman" w:eastAsia="仿宋_GB2312" w:cs="Times New Roman"/>
                <w:kern w:val="0"/>
                <w:szCs w:val="21"/>
              </w:rPr>
              <w:t>　　</w:t>
            </w:r>
          </w:p>
        </w:tc>
        <w:tc>
          <w:tcPr>
            <w:tcW w:w="166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21486.94</w:t>
            </w:r>
            <w:r>
              <w:rPr>
                <w:rFonts w:ascii="Times New Roman" w:hAnsi="Times New Roman" w:eastAsia="仿宋_GB2312" w:cs="Times New Roman"/>
                <w:kern w:val="0"/>
                <w:szCs w:val="21"/>
              </w:rPr>
              <w:t>　</w:t>
            </w:r>
          </w:p>
        </w:tc>
        <w:tc>
          <w:tcPr>
            <w:tcW w:w="1572" w:type="dxa"/>
            <w:shd w:val="clear" w:color="auto" w:fill="auto"/>
            <w:vAlign w:val="center"/>
          </w:tcPr>
          <w:p>
            <w:pPr>
              <w:widowControl/>
              <w:jc w:val="right"/>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1436.24</w:t>
            </w:r>
            <w:r>
              <w:rPr>
                <w:rFonts w:ascii="Times New Roman" w:hAnsi="Times New Roman" w:eastAsia="仿宋_GB2312" w:cs="Times New Roman"/>
                <w:b/>
                <w:bCs/>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注：本表反映部门本年度一般公共预算财政拨款和政府性基金预算财政拨款的总收支和年末结转结余情况。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br w:type="page"/>
      </w:r>
    </w:p>
    <w:p>
      <w:pPr>
        <w:widowControl/>
        <w:jc w:val="center"/>
        <w:rPr>
          <w:rFonts w:ascii="Times New Roman" w:hAnsi="Times New Roman" w:eastAsia="方正小标宋_GBK" w:cs="Times New Roman"/>
          <w:kern w:val="0"/>
          <w:sz w:val="36"/>
          <w:szCs w:val="36"/>
        </w:rPr>
      </w:pPr>
      <w:bookmarkStart w:id="0" w:name="RANGE!A1:F16"/>
      <w:r>
        <w:rPr>
          <w:rFonts w:ascii="Times New Roman" w:hAnsi="Times New Roman" w:eastAsia="方正小标宋_GBK" w:cs="Times New Roman"/>
          <w:kern w:val="0"/>
          <w:sz w:val="36"/>
          <w:szCs w:val="36"/>
        </w:rPr>
        <w:t>一般公共预算财政拨款支出决算表</w:t>
      </w:r>
      <w:bookmarkEnd w:id="0"/>
    </w:p>
    <w:p>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高塘岭街道</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6"/>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21486.94</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3999.77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17487.16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jc w:val="center"/>
        <w:rPr>
          <w:rFonts w:ascii="Times New Roman" w:hAnsi="Times New Roman" w:eastAsia="方正小标宋_GBK" w:cs="Times New Roman"/>
          <w:color w:val="000000"/>
          <w:kern w:val="0"/>
          <w:sz w:val="28"/>
          <w:szCs w:val="36"/>
        </w:rPr>
      </w:pPr>
      <w:bookmarkStart w:id="1" w:name="RANGE!A1:I39"/>
      <w:r>
        <w:rPr>
          <w:rFonts w:ascii="Times New Roman" w:hAnsi="Times New Roman" w:eastAsia="方正小标宋_GBK" w:cs="Times New Roman"/>
          <w:color w:val="000000"/>
          <w:kern w:val="0"/>
          <w:sz w:val="28"/>
          <w:szCs w:val="36"/>
        </w:rPr>
        <w:t>一般公共预算财政拨款基本支出决算表</w:t>
      </w:r>
      <w:bookmarkEnd w:id="1"/>
    </w:p>
    <w:p>
      <w:pPr>
        <w:widowControl/>
        <w:ind w:left="14490" w:hanging="14490" w:hangingChars="69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高塘岭街道</w:t>
      </w:r>
      <w:r>
        <w:rPr>
          <w:rFonts w:ascii="Times New Roman" w:hAnsi="Times New Roman" w:eastAsia="仿宋_GB2312" w:cs="Times New Roman"/>
          <w:color w:val="000000"/>
          <w:kern w:val="0"/>
          <w:szCs w:val="21"/>
        </w:rPr>
        <w:t xml:space="preserve">          公开06表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5900" w:type="dxa"/>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4394"/>
        <w:gridCol w:w="856"/>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439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w:t>
            </w:r>
          </w:p>
        </w:tc>
        <w:tc>
          <w:tcPr>
            <w:tcW w:w="3306"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2612.062612.06</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w:t>
            </w:r>
          </w:p>
        </w:tc>
        <w:tc>
          <w:tcPr>
            <w:tcW w:w="2297"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836.90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30101</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基本工资</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472.00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30201</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办公费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240.72</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30701</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国内债务付息</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30102</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津贴补贴</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560.00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30202</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印刷费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30702</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国外债务付息</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30103</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奖金</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387.00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30203</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咨询费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30106</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伙食补助费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160.16</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30204</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手续费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31001</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房屋建筑物购建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30107</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绩效工资</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274.91</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30205</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水费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4.00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31002</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办公设备购置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47"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30108</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机关事业单位基本养老保险费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232.20　</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30206</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电费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31003</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专用设备购置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30109</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职业年金缴费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66.61　</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30207</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邮电费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31005</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基础设施建设</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30110</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职工基本医疗保险缴费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120.00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30208</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取暖费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31006</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大型修缮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30111</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公务员医疗补助缴费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82.00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30209</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物业管理费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31007</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信息网络及软件购置更新</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30112</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其他社会保障缴费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69.20　</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30211</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差旅费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9.00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31008</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物资储备</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30113</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住房公积金</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187.98　</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30212</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因公出国（境）费用</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31009</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土地补偿</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30114</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医疗费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　</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30213</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维修（护）费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100.00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31010</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安置补助</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30199</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其他工资福利支出</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30214</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租赁费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31011</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地上附着物和青苗补偿</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w:t>
            </w:r>
          </w:p>
        </w:tc>
        <w:tc>
          <w:tcPr>
            <w:tcW w:w="3306"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550.81</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30215</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会议费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5.00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31012</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拆迁补偿</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30301</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离休费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30216</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培训费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31013</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公务用车购置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23"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30302</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退休费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30217</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公务接待费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31019</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其他交通工具购置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30303</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退职（役）费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130.67</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30218</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专用材料费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31021</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文物和陈列品购置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30304</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抚恤金</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5.66</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30224</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被装购置费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31022</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无形资产购置</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30305</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生活补助</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213.46</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30225</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专用燃料费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31099</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其他资本性支出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30306</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救济费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30226</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劳务费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100.00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30307</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医疗费补助</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201.02</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30227</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委托业务费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39906</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赠与</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30308</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助学金</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c>
          <w:tcPr>
            <w:tcW w:w="1110"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30228</w:t>
            </w:r>
          </w:p>
        </w:tc>
        <w:tc>
          <w:tcPr>
            <w:tcW w:w="2297"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工会经费</w:t>
            </w:r>
          </w:p>
        </w:tc>
        <w:tc>
          <w:tcPr>
            <w:tcW w:w="856" w:type="dxa"/>
            <w:tcBorders>
              <w:top w:val="nil"/>
              <w:left w:val="nil"/>
              <w:bottom w:val="single" w:color="auto" w:sz="8" w:space="0"/>
              <w:right w:val="single" w:color="auto" w:sz="8" w:space="0"/>
            </w:tcBorders>
            <w:shd w:val="clear" w:color="auto" w:fill="auto"/>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60.00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39907</w:t>
            </w:r>
          </w:p>
        </w:tc>
        <w:tc>
          <w:tcPr>
            <w:tcW w:w="4394"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国家赔偿费用支出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奖励金</w:t>
            </w:r>
          </w:p>
        </w:tc>
        <w:tc>
          <w:tcPr>
            <w:tcW w:w="856" w:type="dxa"/>
            <w:tcBorders>
              <w:top w:val="nil"/>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140.00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39908</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30310</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个人农业生产补贴</w:t>
            </w:r>
          </w:p>
        </w:tc>
        <w:tc>
          <w:tcPr>
            <w:tcW w:w="856" w:type="dxa"/>
            <w:tcBorders>
              <w:top w:val="nil"/>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r>
              <w:rPr>
                <w:rFonts w:hint="eastAsia" w:ascii="仿宋_GB2312" w:hAnsi="宋体" w:eastAsia="仿宋_GB2312" w:cs="宋体"/>
                <w:color w:val="000000"/>
                <w:kern w:val="0"/>
                <w:sz w:val="18"/>
                <w:szCs w:val="18"/>
              </w:rPr>
              <w:t>0.00</w:t>
            </w:r>
          </w:p>
        </w:tc>
        <w:tc>
          <w:tcPr>
            <w:tcW w:w="1110"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30231</w:t>
            </w:r>
          </w:p>
        </w:tc>
        <w:tc>
          <w:tcPr>
            <w:tcW w:w="2297"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公务用车运行维护费</w:t>
            </w:r>
          </w:p>
        </w:tc>
        <w:tc>
          <w:tcPr>
            <w:tcW w:w="856" w:type="dxa"/>
            <w:tcBorders>
              <w:top w:val="nil"/>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9.00</w:t>
            </w:r>
            <w:r>
              <w:rPr>
                <w:rFonts w:ascii="Times New Roman" w:hAnsi="Times New Roman" w:eastAsia="宋体" w:cs="Times New Roman"/>
                <w:color w:val="000000"/>
                <w:kern w:val="0"/>
                <w:sz w:val="18"/>
                <w:szCs w:val="18"/>
              </w:rPr>
              <w:t>　</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39999</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其他支出</w:t>
            </w:r>
          </w:p>
        </w:tc>
        <w:tc>
          <w:tcPr>
            <w:tcW w:w="856"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hint="eastAsia" w:ascii="仿宋_GB2312" w:hAnsi="Times New Roman" w:eastAsia="仿宋_GB2312" w:cs="Times New Roman"/>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r>
              <w:rPr>
                <w:rFonts w:hint="eastAsia" w:ascii="仿宋_GB2312" w:hAnsi="宋体" w:eastAsia="仿宋_GB2312" w:cs="宋体"/>
                <w:color w:val="000000"/>
                <w:kern w:val="0"/>
                <w:sz w:val="18"/>
                <w:szCs w:val="18"/>
              </w:rPr>
              <w:t>0.00</w:t>
            </w:r>
          </w:p>
        </w:tc>
        <w:tc>
          <w:tcPr>
            <w:tcW w:w="1110" w:type="dxa"/>
            <w:tcBorders>
              <w:top w:val="single" w:color="auto" w:sz="8" w:space="0"/>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0.00</w:t>
            </w:r>
            <w:r>
              <w:rPr>
                <w:rFonts w:ascii="Times New Roman" w:hAnsi="Times New Roman" w:eastAsia="宋体" w:cs="Times New Roman"/>
                <w:color w:val="000000"/>
                <w:kern w:val="0"/>
                <w:sz w:val="18"/>
                <w:szCs w:val="18"/>
              </w:rPr>
              <w:t>　</w:t>
            </w:r>
          </w:p>
        </w:tc>
        <w:tc>
          <w:tcPr>
            <w:tcW w:w="1076" w:type="dxa"/>
            <w:tcBorders>
              <w:top w:val="single" w:color="auto" w:sz="8" w:space="0"/>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single" w:color="auto" w:sz="8" w:space="0"/>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110"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30240</w:t>
            </w:r>
          </w:p>
        </w:tc>
        <w:tc>
          <w:tcPr>
            <w:tcW w:w="2297"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税金及附加费用</w:t>
            </w:r>
          </w:p>
        </w:tc>
        <w:tc>
          <w:tcPr>
            <w:tcW w:w="856" w:type="dxa"/>
            <w:tcBorders>
              <w:top w:val="nil"/>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rPr>
              <w:t>34.18</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110"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30299</w:t>
            </w:r>
          </w:p>
        </w:tc>
        <w:tc>
          <w:tcPr>
            <w:tcW w:w="2297"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其他商品和服务支出</w:t>
            </w:r>
          </w:p>
        </w:tc>
        <w:tc>
          <w:tcPr>
            <w:tcW w:w="856" w:type="dxa"/>
            <w:tcBorders>
              <w:top w:val="nil"/>
              <w:left w:val="nil"/>
              <w:bottom w:val="single" w:color="auto" w:sz="8" w:space="0"/>
              <w:right w:val="single" w:color="auto" w:sz="8" w:space="0"/>
            </w:tcBorders>
            <w:shd w:val="clear" w:color="auto" w:fill="auto"/>
          </w:tcPr>
          <w:p>
            <w:pPr>
              <w:widowControl/>
              <w:jc w:val="righ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80.00</w:t>
            </w:r>
          </w:p>
        </w:tc>
        <w:tc>
          <w:tcPr>
            <w:tcW w:w="1076" w:type="dxa"/>
            <w:tcBorders>
              <w:top w:val="nil"/>
              <w:left w:val="nil"/>
              <w:bottom w:val="single" w:color="auto" w:sz="8" w:space="0"/>
              <w:right w:val="single" w:color="auto" w:sz="8" w:space="0"/>
            </w:tcBorders>
            <w:shd w:val="clear" w:color="auto" w:fill="auto"/>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nil"/>
              <w:left w:val="nil"/>
              <w:bottom w:val="single" w:color="auto" w:sz="8" w:space="0"/>
              <w:right w:val="single" w:color="auto" w:sz="8" w:space="0"/>
            </w:tcBorders>
            <w:shd w:val="clear" w:color="auto" w:fill="auto"/>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4455" w:type="dxa"/>
            <w:gridSpan w:val="2"/>
            <w:tcBorders>
              <w:top w:val="nil"/>
              <w:left w:val="single" w:color="auto" w:sz="8" w:space="0"/>
              <w:bottom w:val="single" w:color="auto" w:sz="8" w:space="0"/>
              <w:right w:val="single" w:color="auto" w:sz="8" w:space="0"/>
            </w:tcBorders>
            <w:shd w:val="clear" w:color="auto" w:fill="auto"/>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856" w:type="dxa"/>
            <w:tcBorders>
              <w:top w:val="nil"/>
              <w:left w:val="nil"/>
              <w:bottom w:val="single" w:color="auto" w:sz="8" w:space="0"/>
              <w:right w:val="single" w:color="auto" w:sz="8" w:space="0"/>
            </w:tcBorders>
            <w:shd w:val="clear" w:color="auto" w:fill="auto"/>
            <w:vAlign w:val="center"/>
          </w:tcPr>
          <w:p>
            <w:pPr>
              <w:widowControl/>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3162.87</w:t>
            </w:r>
          </w:p>
        </w:tc>
        <w:tc>
          <w:tcPr>
            <w:tcW w:w="9733" w:type="dxa"/>
            <w:gridSpan w:val="5"/>
            <w:tcBorders>
              <w:top w:val="nil"/>
              <w:left w:val="nil"/>
              <w:bottom w:val="single" w:color="auto" w:sz="8" w:space="0"/>
              <w:right w:val="single" w:color="auto" w:sz="8" w:space="0"/>
            </w:tcBorders>
            <w:shd w:val="clear" w:color="auto" w:fill="auto"/>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856" w:type="dxa"/>
            <w:tcBorders>
              <w:top w:val="nil"/>
              <w:left w:val="nil"/>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936.90</w:t>
            </w:r>
          </w:p>
        </w:tc>
      </w:tr>
    </w:tbl>
    <w:p>
      <w:pPr>
        <w:widowControl/>
        <w:jc w:val="left"/>
        <w:rPr>
          <w:rFonts w:ascii="黑体" w:hAnsi="黑体" w:eastAsia="黑体"/>
          <w:szCs w:val="21"/>
        </w:rPr>
      </w:pPr>
      <w:r>
        <w:rPr>
          <w:rFonts w:hint="eastAsia" w:ascii="黑体" w:hAnsi="黑体" w:eastAsia="黑体"/>
          <w:szCs w:val="21"/>
        </w:rPr>
        <w:t>注：本表反映部门年度一般公共预算财政拨款基本支出明细情况。</w:t>
      </w:r>
      <w:r>
        <w:rPr>
          <w:rFonts w:ascii="黑体" w:hAnsi="黑体" w:eastAsia="黑体"/>
          <w:szCs w:val="21"/>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5.00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9.00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9.00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9.00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0.00</w:t>
            </w:r>
          </w:p>
        </w:tc>
      </w:tr>
    </w:tbl>
    <w:p>
      <w:pPr>
        <w:autoSpaceDE w:val="0"/>
        <w:autoSpaceDN w:val="0"/>
        <w:adjustRightInd w:val="0"/>
        <w:ind w:left="315" w:leftChars="15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eastAsia="宋体" w:cs="宋体"/>
          <w:kern w:val="0"/>
          <w:sz w:val="24"/>
          <w:szCs w:val="24"/>
        </w:rPr>
      </w:pP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高塘岭街道</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1436.24</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1436.24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1436.24</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总计25314.82万元</w:t>
      </w:r>
      <w:r>
        <w:rPr>
          <w:rFonts w:hint="eastAsia" w:asciiTheme="minorEastAsia" w:hAnsiTheme="minorEastAsia" w:eastAsiaTheme="minorEastAsia"/>
          <w:sz w:val="32"/>
          <w:szCs w:val="32"/>
          <w:lang w:eastAsia="zh-CN"/>
        </w:rPr>
        <w:t>，支出总计</w:t>
      </w:r>
      <w:r>
        <w:rPr>
          <w:rFonts w:hint="eastAsia" w:asciiTheme="minorEastAsia" w:hAnsiTheme="minorEastAsia" w:eastAsiaTheme="minorEastAsia"/>
          <w:sz w:val="32"/>
          <w:szCs w:val="32"/>
          <w:lang w:val="en-US" w:eastAsia="zh-CN"/>
        </w:rPr>
        <w:t>25314.82万元</w:t>
      </w:r>
      <w:r>
        <w:rPr>
          <w:rFonts w:hint="eastAsia" w:asciiTheme="minorEastAsia" w:hAnsiTheme="minorEastAsia" w:eastAsiaTheme="minorEastAsia"/>
          <w:sz w:val="32"/>
          <w:szCs w:val="32"/>
        </w:rPr>
        <w:t>。与2018年相比，增加1021.66万元，增长4%，主要是因为：1、基础设施建设投入加大，2、城市管理日常维护投入加大。</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本年收入合计25314.82万元，其中：财政拨款收入22923.17万元，占90.6%；其他收入2391.65万元，占9.4%。</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本年支出合计25314.82万元，其中：基本支出3999.77万元，占16%；项目支出21315.05万元，占84%。</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总计22923.17万元，</w:t>
      </w:r>
      <w:r>
        <w:rPr>
          <w:rFonts w:hint="eastAsia" w:asciiTheme="minorEastAsia" w:hAnsiTheme="minorEastAsia" w:eastAsiaTheme="minorEastAsia"/>
          <w:sz w:val="32"/>
          <w:szCs w:val="32"/>
          <w:lang w:eastAsia="zh-CN"/>
        </w:rPr>
        <w:t>支出总计</w:t>
      </w:r>
      <w:r>
        <w:rPr>
          <w:rFonts w:hint="eastAsia" w:asciiTheme="minorEastAsia" w:hAnsiTheme="minorEastAsia" w:eastAsiaTheme="minorEastAsia"/>
          <w:sz w:val="32"/>
          <w:szCs w:val="32"/>
          <w:lang w:val="en-US" w:eastAsia="zh-CN"/>
        </w:rPr>
        <w:t>22923.17万元，</w:t>
      </w:r>
      <w:r>
        <w:rPr>
          <w:rFonts w:hint="eastAsia" w:asciiTheme="minorEastAsia" w:hAnsiTheme="minorEastAsia" w:eastAsiaTheme="minorEastAsia"/>
          <w:sz w:val="32"/>
          <w:szCs w:val="32"/>
        </w:rPr>
        <w:t>与2018年相比，增加4154.33万元,增长18%，主要是因为加大基础设施建设的投入。</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2019年度财政拨款支出21486.94万元，占本年支出合计的84%，与2018年相比，财政拨款支出增加6649.31万元，增长31%，主要是因为村级转移支付增加等。</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2019年度财政拨款支出21486.94万元，主要用于以下方面：一般公共服务（类）支出5076.88万元，占23.7%；国防支出</w:t>
      </w:r>
      <w:r>
        <w:rPr>
          <w:rFonts w:hint="eastAsia" w:asciiTheme="minorEastAsia" w:hAnsiTheme="minorEastAsia" w:eastAsiaTheme="minorEastAsia"/>
          <w:sz w:val="32"/>
          <w:szCs w:val="32"/>
          <w:lang w:val="en-US" w:eastAsia="zh-CN"/>
        </w:rPr>
        <w:t>121</w:t>
      </w:r>
      <w:r>
        <w:rPr>
          <w:rFonts w:hint="eastAsia" w:asciiTheme="minorEastAsia" w:hAnsiTheme="minorEastAsia" w:eastAsiaTheme="minorEastAsia"/>
          <w:sz w:val="32"/>
          <w:szCs w:val="32"/>
        </w:rPr>
        <w:t>万元，占0.</w:t>
      </w:r>
      <w:r>
        <w:rPr>
          <w:rFonts w:hint="eastAsia" w:asciiTheme="minorEastAsia" w:hAnsiTheme="minorEastAsia" w:eastAsiaTheme="minorEastAsia"/>
          <w:sz w:val="32"/>
          <w:szCs w:val="32"/>
          <w:lang w:val="en-US" w:eastAsia="zh-CN"/>
        </w:rPr>
        <w:t>56</w:t>
      </w:r>
      <w:r>
        <w:rPr>
          <w:rFonts w:hint="eastAsia" w:asciiTheme="minorEastAsia" w:hAnsiTheme="minorEastAsia" w:eastAsiaTheme="minorEastAsia"/>
          <w:sz w:val="32"/>
          <w:szCs w:val="32"/>
        </w:rPr>
        <w:t>%；公共安全支出</w:t>
      </w:r>
      <w:r>
        <w:rPr>
          <w:rFonts w:hint="eastAsia" w:asciiTheme="minorEastAsia" w:hAnsiTheme="minorEastAsia" w:eastAsiaTheme="minorEastAsia"/>
          <w:sz w:val="32"/>
          <w:szCs w:val="32"/>
          <w:lang w:val="en-US" w:eastAsia="zh-CN"/>
        </w:rPr>
        <w:t>86.48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%；教育支出</w:t>
      </w:r>
      <w:r>
        <w:rPr>
          <w:rFonts w:hint="eastAsia" w:asciiTheme="minorEastAsia" w:hAnsiTheme="minorEastAsia" w:eastAsiaTheme="minorEastAsia"/>
          <w:sz w:val="32"/>
          <w:szCs w:val="32"/>
          <w:lang w:val="en-US" w:eastAsia="zh-CN"/>
        </w:rPr>
        <w:t>22.88</w:t>
      </w:r>
      <w:r>
        <w:rPr>
          <w:rFonts w:hint="eastAsia" w:asciiTheme="minorEastAsia" w:hAnsiTheme="minorEastAsia" w:eastAsiaTheme="minorEastAsia"/>
          <w:sz w:val="32"/>
          <w:szCs w:val="32"/>
        </w:rPr>
        <w:t>万元，占0.</w:t>
      </w: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val="en-US" w:eastAsia="zh-CN"/>
        </w:rPr>
        <w:t>1015.09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4.72</w:t>
      </w:r>
      <w:r>
        <w:rPr>
          <w:rFonts w:hint="eastAsia" w:asciiTheme="minorEastAsia" w:hAnsiTheme="minorEastAsia" w:eastAsiaTheme="minorEastAsia"/>
          <w:sz w:val="32"/>
          <w:szCs w:val="32"/>
        </w:rPr>
        <w:t>%；文化体育与传媒支出</w:t>
      </w:r>
      <w:r>
        <w:rPr>
          <w:rFonts w:hint="eastAsia" w:asciiTheme="minorEastAsia" w:hAnsiTheme="minorEastAsia" w:eastAsiaTheme="minorEastAsia"/>
          <w:sz w:val="32"/>
          <w:szCs w:val="32"/>
          <w:lang w:val="en-US" w:eastAsia="zh-CN"/>
        </w:rPr>
        <w:t>243.47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1.13</w:t>
      </w:r>
      <w:r>
        <w:rPr>
          <w:rFonts w:hint="eastAsia" w:asciiTheme="minorEastAsia" w:hAnsiTheme="minorEastAsia" w:eastAsiaTheme="minorEastAsia"/>
          <w:sz w:val="32"/>
          <w:szCs w:val="32"/>
        </w:rPr>
        <w:t>%；社会保障和就业支出1340.36万元，占6%；卫生健康支出1322.43万元，占6%；节能环保支出</w:t>
      </w:r>
      <w:r>
        <w:rPr>
          <w:rFonts w:hint="eastAsia" w:asciiTheme="minorEastAsia" w:hAnsiTheme="minorEastAsia" w:eastAsiaTheme="minorEastAsia"/>
          <w:sz w:val="32"/>
          <w:szCs w:val="32"/>
          <w:lang w:val="en-US" w:eastAsia="zh-CN"/>
        </w:rPr>
        <w:t>1145.75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5.33</w:t>
      </w:r>
      <w:r>
        <w:rPr>
          <w:rFonts w:hint="eastAsia" w:asciiTheme="minorEastAsia" w:hAnsiTheme="minorEastAsia" w:eastAsiaTheme="minorEastAsia"/>
          <w:sz w:val="32"/>
          <w:szCs w:val="32"/>
        </w:rPr>
        <w:t>%；城乡社区支出</w:t>
      </w:r>
      <w:r>
        <w:rPr>
          <w:rFonts w:hint="eastAsia" w:asciiTheme="minorEastAsia" w:hAnsiTheme="minorEastAsia" w:eastAsiaTheme="minorEastAsia"/>
          <w:sz w:val="32"/>
          <w:szCs w:val="32"/>
          <w:lang w:val="en-US" w:eastAsia="zh-CN"/>
        </w:rPr>
        <w:t>6399.91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29.79</w:t>
      </w:r>
      <w:r>
        <w:rPr>
          <w:rFonts w:hint="eastAsia" w:asciiTheme="minorEastAsia" w:hAnsiTheme="minorEastAsia" w:eastAsiaTheme="minorEastAsia"/>
          <w:sz w:val="32"/>
          <w:szCs w:val="32"/>
        </w:rPr>
        <w:t>%；农林水支出4016.56万元，占19%；交通运输支出</w:t>
      </w:r>
      <w:r>
        <w:rPr>
          <w:rFonts w:hint="eastAsia" w:asciiTheme="minorEastAsia" w:hAnsiTheme="minorEastAsia" w:eastAsiaTheme="minorEastAsia"/>
          <w:sz w:val="32"/>
          <w:szCs w:val="32"/>
          <w:lang w:val="en-US" w:eastAsia="zh-CN"/>
        </w:rPr>
        <w:t>76.48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0.36</w:t>
      </w:r>
      <w:r>
        <w:rPr>
          <w:rFonts w:hint="eastAsia" w:asciiTheme="minorEastAsia" w:hAnsiTheme="minorEastAsia" w:eastAsiaTheme="minorEastAsia"/>
          <w:sz w:val="32"/>
          <w:szCs w:val="32"/>
        </w:rPr>
        <w:t>%；资源勘探信息等支出</w:t>
      </w:r>
      <w:r>
        <w:rPr>
          <w:rFonts w:hint="eastAsia" w:asciiTheme="minorEastAsia" w:hAnsiTheme="minorEastAsia" w:eastAsiaTheme="minorEastAsia"/>
          <w:sz w:val="32"/>
          <w:szCs w:val="32"/>
          <w:lang w:val="en-US" w:eastAsia="zh-CN"/>
        </w:rPr>
        <w:t>148.39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0.69</w:t>
      </w:r>
      <w:r>
        <w:rPr>
          <w:rFonts w:hint="eastAsia" w:asciiTheme="minorEastAsia" w:hAnsiTheme="minorEastAsia" w:eastAsiaTheme="minorEastAsia"/>
          <w:sz w:val="32"/>
          <w:szCs w:val="32"/>
        </w:rPr>
        <w:t>%；商业服务业等支出</w:t>
      </w:r>
      <w:r>
        <w:rPr>
          <w:rFonts w:hint="eastAsia" w:asciiTheme="minorEastAsia" w:hAnsiTheme="minorEastAsia" w:eastAsiaTheme="minorEastAsia"/>
          <w:sz w:val="32"/>
          <w:szCs w:val="32"/>
          <w:lang w:val="en-US" w:eastAsia="zh-CN"/>
        </w:rPr>
        <w:t>29.36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0.14</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394.89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1.84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灾害防治及应急管理支出</w:t>
      </w:r>
      <w:r>
        <w:rPr>
          <w:rFonts w:hint="eastAsia" w:asciiTheme="minorEastAsia" w:hAnsiTheme="minorEastAsia" w:eastAsiaTheme="minorEastAsia"/>
          <w:sz w:val="32"/>
          <w:szCs w:val="32"/>
          <w:lang w:val="en-US" w:eastAsia="zh-CN"/>
        </w:rPr>
        <w:t>47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0.22</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w:t>
      </w:r>
      <w:r>
        <w:rPr>
          <w:rFonts w:hint="eastAsia" w:asciiTheme="minorEastAsia" w:hAnsiTheme="minorEastAsia" w:eastAsiaTheme="minorEastAsia"/>
          <w:sz w:val="32"/>
          <w:szCs w:val="32"/>
          <w:lang w:val="en-US" w:eastAsia="zh-CN"/>
        </w:rPr>
        <w:t>10899.61</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21486.94</w:t>
      </w:r>
      <w:r>
        <w:rPr>
          <w:rFonts w:hint="eastAsia" w:asciiTheme="minorEastAsia" w:hAnsiTheme="minorEastAsia" w:eastAsiaTheme="minorEastAsia"/>
          <w:sz w:val="32"/>
          <w:szCs w:val="32"/>
        </w:rPr>
        <w:t>万元，完成年初预算的1</w:t>
      </w:r>
      <w:r>
        <w:rPr>
          <w:rFonts w:hint="eastAsia" w:asciiTheme="minorEastAsia" w:hAnsiTheme="minorEastAsia" w:eastAsiaTheme="minorEastAsia"/>
          <w:sz w:val="32"/>
          <w:szCs w:val="32"/>
          <w:lang w:val="en-US" w:eastAsia="zh-CN"/>
        </w:rPr>
        <w:t>97.13</w:t>
      </w:r>
      <w:r>
        <w:rPr>
          <w:rFonts w:hint="eastAsia" w:asciiTheme="minorEastAsia" w:hAnsiTheme="minorEastAsia" w:eastAsiaTheme="minorEastAsia"/>
          <w:sz w:val="32"/>
          <w:szCs w:val="32"/>
        </w:rPr>
        <w:t>%，其中：</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一般公共服务（类）支出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4085.61万元，决算数为</w:t>
      </w:r>
      <w:r>
        <w:rPr>
          <w:rFonts w:hint="eastAsia" w:asciiTheme="minorEastAsia" w:hAnsiTheme="minorEastAsia" w:eastAsiaTheme="minorEastAsia"/>
          <w:sz w:val="32"/>
          <w:szCs w:val="32"/>
        </w:rPr>
        <w:t>5076.88万元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124.26%，决算数大于年初预算数的主要原因是年中追加支出。</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国防支出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0万元，决算数为</w:t>
      </w:r>
      <w:r>
        <w:rPr>
          <w:rFonts w:hint="eastAsia" w:asciiTheme="minorEastAsia" w:hAnsiTheme="minorEastAsia" w:eastAsiaTheme="minorEastAsia"/>
          <w:sz w:val="32"/>
          <w:szCs w:val="32"/>
        </w:rPr>
        <w:t>121万元</w:t>
      </w:r>
      <w:r>
        <w:rPr>
          <w:rFonts w:hint="eastAsia" w:asciiTheme="minorEastAsia" w:hAnsiTheme="minorEastAsia" w:eastAsiaTheme="minorEastAsia"/>
          <w:sz w:val="32"/>
          <w:szCs w:val="32"/>
          <w:lang w:eastAsia="zh-CN"/>
        </w:rPr>
        <w:t>，决算数大于年初预算数的主要原因是年中追加支出。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公共安全支出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370万元，决算数为</w:t>
      </w:r>
      <w:r>
        <w:rPr>
          <w:rFonts w:hint="eastAsia" w:asciiTheme="minorEastAsia" w:hAnsiTheme="minorEastAsia" w:eastAsiaTheme="minorEastAsia"/>
          <w:sz w:val="32"/>
          <w:szCs w:val="32"/>
        </w:rPr>
        <w:t>86.48万元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23.37%。</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教育支出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80万元，决算数为</w:t>
      </w:r>
      <w:r>
        <w:rPr>
          <w:rFonts w:hint="eastAsia" w:asciiTheme="minorEastAsia" w:hAnsiTheme="minorEastAsia" w:eastAsiaTheme="minorEastAsia"/>
          <w:sz w:val="32"/>
          <w:szCs w:val="32"/>
        </w:rPr>
        <w:t>22.88万元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28.6%。</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0万元，决算数为</w:t>
      </w:r>
      <w:r>
        <w:rPr>
          <w:rFonts w:hint="eastAsia" w:asciiTheme="minorEastAsia" w:hAnsiTheme="minorEastAsia" w:eastAsiaTheme="minorEastAsia"/>
          <w:sz w:val="32"/>
          <w:szCs w:val="32"/>
        </w:rPr>
        <w:t>1015.09万元</w:t>
      </w:r>
      <w:r>
        <w:rPr>
          <w:rFonts w:hint="eastAsia" w:asciiTheme="minorEastAsia" w:hAnsiTheme="minorEastAsia" w:eastAsiaTheme="minorEastAsia"/>
          <w:sz w:val="32"/>
          <w:szCs w:val="32"/>
          <w:lang w:eastAsia="zh-CN"/>
        </w:rPr>
        <w:t>，决算数大于年初预算数的主要原因是年中追加支出。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文化体育与传媒支出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250万元，决算数为</w:t>
      </w:r>
      <w:r>
        <w:rPr>
          <w:rFonts w:hint="eastAsia" w:asciiTheme="minorEastAsia" w:hAnsiTheme="minorEastAsia" w:eastAsiaTheme="minorEastAsia"/>
          <w:sz w:val="32"/>
          <w:szCs w:val="32"/>
        </w:rPr>
        <w:t>243.47万元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97.39%。</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120万元，决算数为</w:t>
      </w:r>
      <w:r>
        <w:rPr>
          <w:rFonts w:hint="eastAsia" w:asciiTheme="minorEastAsia" w:hAnsiTheme="minorEastAsia" w:eastAsiaTheme="minorEastAsia"/>
          <w:sz w:val="32"/>
          <w:szCs w:val="32"/>
        </w:rPr>
        <w:t>1340.36万元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1117%，决算数大于年初预算数的主要原因是年中追加支出。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24万元，决算数为</w:t>
      </w:r>
      <w:r>
        <w:rPr>
          <w:rFonts w:hint="eastAsia" w:asciiTheme="minorEastAsia" w:hAnsiTheme="minorEastAsia" w:eastAsiaTheme="minorEastAsia"/>
          <w:sz w:val="32"/>
          <w:szCs w:val="32"/>
        </w:rPr>
        <w:t>1322.43万元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5510.13%，决算数大于年初预算数的主要原因是年中追加支出。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节能环保支出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1200万元，决算数为</w:t>
      </w:r>
      <w:r>
        <w:rPr>
          <w:rFonts w:hint="eastAsia" w:asciiTheme="minorEastAsia" w:hAnsiTheme="minorEastAsia" w:eastAsiaTheme="minorEastAsia"/>
          <w:sz w:val="32"/>
          <w:szCs w:val="32"/>
        </w:rPr>
        <w:t>1145.75万元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95.48%。</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城乡社区支出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3530万元，决算数为</w:t>
      </w:r>
      <w:r>
        <w:rPr>
          <w:rFonts w:hint="eastAsia" w:asciiTheme="minorEastAsia" w:hAnsiTheme="minorEastAsia" w:eastAsiaTheme="minorEastAsia"/>
          <w:sz w:val="32"/>
          <w:szCs w:val="32"/>
        </w:rPr>
        <w:t>6399.91万元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181.3%，决算数大于年初预算数的主要原因是年中追加支出。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农林水支出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540万元，决算数为</w:t>
      </w:r>
      <w:r>
        <w:rPr>
          <w:rFonts w:hint="eastAsia" w:asciiTheme="minorEastAsia" w:hAnsiTheme="minorEastAsia" w:eastAsiaTheme="minorEastAsia"/>
          <w:sz w:val="32"/>
          <w:szCs w:val="32"/>
        </w:rPr>
        <w:t>4016.56万元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743.81%，决算数大于年初预算数的主要原因是年中追加支出。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交通运输支出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120万元，决算数为</w:t>
      </w:r>
      <w:r>
        <w:rPr>
          <w:rFonts w:hint="eastAsia" w:asciiTheme="minorEastAsia" w:hAnsiTheme="minorEastAsia" w:eastAsiaTheme="minorEastAsia"/>
          <w:sz w:val="32"/>
          <w:szCs w:val="32"/>
        </w:rPr>
        <w:t>76.48万元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63.73%。</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资源勘探信息等支出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0万元，决算数为</w:t>
      </w:r>
      <w:r>
        <w:rPr>
          <w:rFonts w:hint="eastAsia" w:asciiTheme="minorEastAsia" w:hAnsiTheme="minorEastAsia" w:eastAsiaTheme="minorEastAsia"/>
          <w:sz w:val="32"/>
          <w:szCs w:val="32"/>
        </w:rPr>
        <w:t>148.39万元</w:t>
      </w:r>
      <w:r>
        <w:rPr>
          <w:rFonts w:hint="eastAsia" w:asciiTheme="minorEastAsia" w:hAnsiTheme="minorEastAsia" w:eastAsiaTheme="minorEastAsia"/>
          <w:sz w:val="32"/>
          <w:szCs w:val="32"/>
          <w:lang w:eastAsia="zh-CN"/>
        </w:rPr>
        <w:t>，决算数大于年初预算数的主要原因是年中追加支出。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14、</w:t>
      </w:r>
      <w:r>
        <w:rPr>
          <w:rFonts w:hint="eastAsia" w:asciiTheme="minorEastAsia" w:hAnsiTheme="minorEastAsia" w:eastAsiaTheme="minorEastAsia"/>
          <w:sz w:val="32"/>
          <w:szCs w:val="32"/>
        </w:rPr>
        <w:t>商业服务业等支出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80万元，决算数为</w:t>
      </w:r>
      <w:r>
        <w:rPr>
          <w:rFonts w:hint="eastAsia" w:asciiTheme="minorEastAsia" w:hAnsiTheme="minorEastAsia" w:eastAsiaTheme="minorEastAsia"/>
          <w:sz w:val="32"/>
          <w:szCs w:val="32"/>
        </w:rPr>
        <w:t>29.36万元</w:t>
      </w:r>
      <w:r>
        <w:rPr>
          <w:rFonts w:hint="eastAsia" w:asciiTheme="minorEastAsia" w:hAnsiTheme="minorEastAsia" w:eastAsiaTheme="minorEastAsia"/>
          <w:sz w:val="32"/>
          <w:szCs w:val="32"/>
          <w:lang w:eastAsia="zh-CN"/>
        </w:rPr>
        <w:t>，完成年初预算数的</w:t>
      </w:r>
      <w:r>
        <w:rPr>
          <w:rFonts w:hint="eastAsia" w:asciiTheme="minorEastAsia" w:hAnsiTheme="minorEastAsia" w:eastAsiaTheme="minorEastAsia"/>
          <w:sz w:val="32"/>
          <w:szCs w:val="32"/>
          <w:lang w:val="en-US" w:eastAsia="zh-CN"/>
        </w:rPr>
        <w:t>36.7%。</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0万元，决算数为</w:t>
      </w:r>
      <w:r>
        <w:rPr>
          <w:rFonts w:hint="eastAsia" w:asciiTheme="minorEastAsia" w:hAnsiTheme="minorEastAsia" w:eastAsiaTheme="minorEastAsia"/>
          <w:sz w:val="32"/>
          <w:szCs w:val="32"/>
        </w:rPr>
        <w:t>394.89万元</w:t>
      </w:r>
      <w:r>
        <w:rPr>
          <w:rFonts w:hint="eastAsia" w:asciiTheme="minorEastAsia" w:hAnsiTheme="minorEastAsia" w:eastAsiaTheme="minorEastAsia"/>
          <w:sz w:val="32"/>
          <w:szCs w:val="32"/>
          <w:lang w:eastAsia="zh-CN"/>
        </w:rPr>
        <w:t>，决算数大于年初预算数的主要原因是年中追加支出。</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16、</w:t>
      </w:r>
      <w:r>
        <w:rPr>
          <w:rFonts w:hint="eastAsia" w:asciiTheme="minorEastAsia" w:hAnsiTheme="minorEastAsia" w:eastAsiaTheme="minorEastAsia"/>
          <w:sz w:val="32"/>
          <w:szCs w:val="32"/>
        </w:rPr>
        <w:t>灾害防治及应急管理支出</w:t>
      </w:r>
      <w:r>
        <w:rPr>
          <w:rFonts w:hint="eastAsia" w:asciiTheme="minorEastAsia" w:hAnsiTheme="minorEastAsia" w:eastAsiaTheme="minorEastAsia"/>
          <w:sz w:val="32"/>
          <w:szCs w:val="32"/>
          <w:lang w:eastAsia="zh-CN"/>
        </w:rPr>
        <w:t>年初预算数为</w:t>
      </w:r>
      <w:r>
        <w:rPr>
          <w:rFonts w:hint="eastAsia" w:asciiTheme="minorEastAsia" w:hAnsiTheme="minorEastAsia" w:eastAsiaTheme="minorEastAsia"/>
          <w:sz w:val="32"/>
          <w:szCs w:val="32"/>
          <w:lang w:val="en-US" w:eastAsia="zh-CN"/>
        </w:rPr>
        <w:t>0万元，决算数为</w:t>
      </w:r>
      <w:r>
        <w:rPr>
          <w:rFonts w:hint="eastAsia" w:asciiTheme="minorEastAsia" w:hAnsiTheme="minorEastAsia" w:eastAsiaTheme="minorEastAsia"/>
          <w:sz w:val="32"/>
          <w:szCs w:val="32"/>
        </w:rPr>
        <w:t>47万元</w:t>
      </w:r>
      <w:r>
        <w:rPr>
          <w:rFonts w:hint="eastAsia" w:asciiTheme="minorEastAsia" w:hAnsiTheme="minorEastAsia" w:eastAsiaTheme="minorEastAsia"/>
          <w:sz w:val="32"/>
          <w:szCs w:val="32"/>
          <w:lang w:eastAsia="zh-CN"/>
        </w:rPr>
        <w:t>，决算数大于年初预算数的主要原因是年中追加支出。</w:t>
      </w:r>
    </w:p>
    <w:p>
      <w:pPr>
        <w:pStyle w:val="10"/>
        <w:ind w:firstLine="800" w:firstLineChars="25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3999.77万元，其中：人员经费3162.87万元，占基本支出的79%,主要包括基本工资472万元、津贴补贴560万元、奖金387万元、伙食补助费160.16万元等；公用经费836.9万元，占基本支出的21%，主要包括办公费240.72万元、印刷费5万元、电费50万元等.</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“三公”经费财政拨款支出预算为9万元，支出决算为9万元，完成预算的100%，其中：</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公务用车购置费及运行维护费支出预算为9万元，支出决算为9万元，完成预算的100%。</w:t>
      </w:r>
      <w:r>
        <w:rPr>
          <w:rFonts w:hint="eastAsia" w:asciiTheme="minorEastAsia" w:hAnsiTheme="minorEastAsia" w:eastAsiaTheme="minorEastAsia"/>
          <w:sz w:val="32"/>
          <w:szCs w:val="32"/>
          <w:lang w:eastAsia="zh-CN"/>
        </w:rPr>
        <w:t>与</w:t>
      </w:r>
      <w:r>
        <w:rPr>
          <w:rFonts w:hint="eastAsia" w:asciiTheme="minorEastAsia" w:hAnsiTheme="minorEastAsia" w:eastAsiaTheme="minorEastAsia"/>
          <w:sz w:val="32"/>
          <w:szCs w:val="32"/>
          <w:lang w:val="en-US" w:eastAsia="zh-CN"/>
        </w:rPr>
        <w:t>2018年相比减少1万元，减少10%，主要原因是厉行节约，减少公务用车运行和维修支出。</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2019年度“三公”经费财政拨款支出决算中，公务用车购置费及运行维护费支出决算9万元，占100%。其中：</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公务用车购置费及运行维护费支出决算为9万元，其中：公务用车运行维护费9万元，主要是公务用车运行和维修支出，</w:t>
      </w:r>
      <w:bookmarkStart w:id="2" w:name="_GoBack"/>
      <w:r>
        <w:rPr>
          <w:rFonts w:hint="eastAsia" w:asciiTheme="minorEastAsia" w:hAnsiTheme="minorEastAsia"/>
          <w:sz w:val="32"/>
          <w:szCs w:val="32"/>
        </w:rPr>
        <w:t>截</w:t>
      </w:r>
      <w:bookmarkEnd w:id="2"/>
      <w:r>
        <w:rPr>
          <w:rFonts w:hint="eastAsia" w:asciiTheme="minorEastAsia" w:hAnsiTheme="minorEastAsia"/>
          <w:sz w:val="32"/>
          <w:szCs w:val="32"/>
          <w:lang w:eastAsia="zh-CN"/>
        </w:rPr>
        <w:t>至</w:t>
      </w:r>
      <w:r>
        <w:rPr>
          <w:rFonts w:hint="eastAsia" w:asciiTheme="minorEastAsia" w:hAnsiTheme="minorEastAsia"/>
          <w:sz w:val="32"/>
          <w:szCs w:val="32"/>
        </w:rPr>
        <w:t>2019年12月31日，我单位开支财政拨款的公务用车保有量为2辆。</w:t>
      </w:r>
    </w:p>
    <w:p>
      <w:pPr>
        <w:pStyle w:val="10"/>
        <w:rPr>
          <w:rFonts w:hAnsi="黑体"/>
          <w:b/>
          <w:sz w:val="32"/>
          <w:szCs w:val="32"/>
        </w:rPr>
      </w:pPr>
      <w:r>
        <w:rPr>
          <w:rFonts w:hint="eastAsia" w:hAnsi="黑体"/>
          <w:b/>
          <w:sz w:val="32"/>
          <w:szCs w:val="32"/>
        </w:rPr>
        <w:t>八、政府性基金预算收入支出决算情况</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2019年度政府性基金预算财政拨款收入1436.24万元；其中基本支出0万元，项目支出1436.24万元；年末结转和结余0万元。</w:t>
      </w:r>
    </w:p>
    <w:p>
      <w:pPr>
        <w:pStyle w:val="10"/>
        <w:rPr>
          <w:rFonts w:hAnsi="黑体"/>
          <w:b/>
          <w:sz w:val="32"/>
          <w:szCs w:val="32"/>
        </w:rPr>
      </w:pPr>
      <w:r>
        <w:rPr>
          <w:rFonts w:hint="eastAsia" w:hAnsi="黑体"/>
          <w:b/>
          <w:sz w:val="32"/>
          <w:szCs w:val="32"/>
        </w:rPr>
        <w:t>九、其他重要事项情况说明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年度机关运行经费支出836.9万元，与年初预算数持平。主要原因是：机关推行厉行节约，压缩办公经费。</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2019年本部门开支会议费5万元，用于召开村社区中心工作布置及培训会议</w:t>
      </w:r>
      <w:r>
        <w:rPr>
          <w:rFonts w:hint="eastAsia" w:cs="黑体" w:asciiTheme="minorEastAsia" w:hAnsiTheme="minorEastAsia"/>
          <w:color w:val="000000"/>
          <w:kern w:val="0"/>
          <w:sz w:val="32"/>
          <w:szCs w:val="32"/>
          <w:lang w:eastAsia="zh-CN"/>
        </w:rPr>
        <w:t>，参会人数</w:t>
      </w:r>
      <w:r>
        <w:rPr>
          <w:rFonts w:hint="eastAsia" w:cs="黑体" w:asciiTheme="minorEastAsia" w:hAnsiTheme="minorEastAsia"/>
          <w:color w:val="000000"/>
          <w:kern w:val="0"/>
          <w:sz w:val="32"/>
          <w:szCs w:val="32"/>
          <w:lang w:val="en-US" w:eastAsia="zh-CN"/>
        </w:rPr>
        <w:t>3000人</w:t>
      </w:r>
      <w:r>
        <w:rPr>
          <w:rFonts w:hint="eastAsia" w:cs="黑体" w:asciiTheme="minorEastAsia" w:hAnsiTheme="minorEastAsia"/>
          <w:color w:val="000000"/>
          <w:kern w:val="0"/>
          <w:sz w:val="32"/>
          <w:szCs w:val="32"/>
        </w:rPr>
        <w:t>。</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本部门2019年度政府采购支出总额22万元，其中：政府采购货物支出22万元，主要用于电脑、打印机、空调等办公设备开支。</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截至2019年12月31日，本单位共有车辆2辆</w:t>
      </w:r>
      <w:r>
        <w:rPr>
          <w:rFonts w:hint="eastAsia" w:cs="黑体" w:asciiTheme="minorEastAsia" w:hAnsiTheme="minorEastAsia"/>
          <w:color w:val="000000"/>
          <w:kern w:val="0"/>
          <w:sz w:val="32"/>
          <w:szCs w:val="32"/>
          <w:lang w:eastAsia="zh-CN"/>
        </w:rPr>
        <w:t>，均为一般公务用车</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eastAsia="zh-CN"/>
        </w:rPr>
        <w:t>单位价值50万元以上通用设备0台，单价100万元以上专用设备0台。</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1.支出增长率，衡量行政单位支出的增长水平。计算公式为：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支出增长率＝(本期支出总额÷上期支出总额-1)×100%</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2.当年预算支出完成率，衡量行政单位当年支出总预算及分项预算完成的程度。计算公式为：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当年预算支出完成率＝年终执行数÷（年初预算数±年中预算调整数）×100%</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年终执行数不含上年结转和结余支出数。</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3.人均开支，衡量行政单位人均年消耗经费水平。计算公式为：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人均开支＝本期支出数÷本期平均在职人员数×100%</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4.项目支出占总支出的比率，衡量行政单位的支出结构。计算公式为：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项目支出比率=本期项目支出数÷本期支出总数×100%</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5.人员支出、公用支出占总支出的比率，衡量行政单位的支出结构。计算公式为：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人员支出比率=本期人员支出数÷本期支出总数×100%</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公用支出比率=本期公用支出数÷本期支出总数×100%</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6.人均办公使用面积，衡量行政单位办公用房配备情况。计算公式为：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ascii="宋体" w:hAnsi="宋体" w:eastAsia="宋体" w:cs="宋体"/>
          <w:color w:val="333333"/>
          <w:sz w:val="19"/>
          <w:szCs w:val="19"/>
        </w:rPr>
      </w:pPr>
      <w:r>
        <w:rPr>
          <w:rFonts w:hint="eastAsia" w:ascii="宋体" w:hAnsi="宋体" w:eastAsia="宋体" w:cs="宋体"/>
          <w:color w:val="333333"/>
          <w:szCs w:val="24"/>
          <w:shd w:val="clear" w:color="auto" w:fill="FFFFFF"/>
        </w:rPr>
        <w:t>人均办公使用面积=本期末单位办公用房使用面积÷本期末在职人员数</w:t>
      </w:r>
      <w:r>
        <w:rPr>
          <w:rFonts w:hint="eastAsia" w:ascii="宋体" w:hAnsi="宋体" w:eastAsia="宋体" w:cs="宋体"/>
          <w:color w:val="333333"/>
          <w:sz w:val="19"/>
          <w:szCs w:val="19"/>
          <w:shd w:val="clear" w:color="auto" w:fill="FFFFFF"/>
        </w:rPr>
        <w:t>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hint="eastAsia" w:ascii="宋体" w:hAnsi="宋体" w:eastAsia="宋体" w:cs="宋体"/>
          <w:color w:val="333333"/>
          <w:sz w:val="19"/>
          <w:szCs w:val="19"/>
          <w:shd w:val="clear" w:color="auto" w:fill="FFFFFF"/>
        </w:rPr>
      </w:pPr>
      <w:r>
        <w:rPr>
          <w:rFonts w:hint="eastAsia" w:ascii="宋体" w:hAnsi="宋体" w:eastAsia="宋体" w:cs="宋体"/>
          <w:color w:val="333333"/>
          <w:szCs w:val="24"/>
          <w:shd w:val="clear" w:color="auto" w:fill="FFFFFF"/>
          <w:lang w:val="en-US" w:eastAsia="zh-CN"/>
        </w:rPr>
        <w:t>7.</w:t>
      </w:r>
      <w:r>
        <w:rPr>
          <w:rFonts w:hint="eastAsia" w:ascii="宋体" w:hAnsi="宋体" w:eastAsia="宋体" w:cs="宋体"/>
          <w:color w:val="333333"/>
          <w:szCs w:val="24"/>
          <w:shd w:val="clear" w:color="auto" w:fill="FFFFFF"/>
        </w:rPr>
        <w:t>人车比例，衡量行政单位公务用车配备情况。计算公式为：</w:t>
      </w:r>
      <w:r>
        <w:rPr>
          <w:rFonts w:hint="eastAsia" w:ascii="宋体" w:hAnsi="宋体" w:eastAsia="宋体" w:cs="宋体"/>
          <w:color w:val="333333"/>
          <w:sz w:val="19"/>
          <w:szCs w:val="19"/>
          <w:shd w:val="clear" w:color="auto" w:fill="FFFFFF"/>
        </w:rPr>
        <w:t>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hint="eastAsia" w:ascii="宋体" w:hAnsi="宋体" w:eastAsia="宋体" w:cs="宋体"/>
          <w:color w:val="333333"/>
          <w:sz w:val="19"/>
          <w:szCs w:val="19"/>
          <w:shd w:val="clear" w:color="auto" w:fill="FFFFFF"/>
        </w:rPr>
      </w:pPr>
      <w:r>
        <w:rPr>
          <w:rFonts w:hint="eastAsia" w:ascii="宋体" w:hAnsi="宋体" w:eastAsia="宋体" w:cs="宋体"/>
          <w:color w:val="333333"/>
          <w:szCs w:val="24"/>
          <w:shd w:val="clear" w:color="auto" w:fill="FFFFFF"/>
        </w:rPr>
        <w:t>人车比例=本期末在职人员数÷本期末公务用车实有数:1</w:t>
      </w:r>
      <w:r>
        <w:rPr>
          <w:rFonts w:hint="eastAsia" w:ascii="宋体" w:hAnsi="宋体" w:eastAsia="宋体" w:cs="宋体"/>
          <w:color w:val="333333"/>
          <w:sz w:val="19"/>
          <w:szCs w:val="19"/>
          <w:shd w:val="clear" w:color="auto" w:fill="FFFFFF"/>
        </w:rPr>
        <w:t>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5" w:beforeAutospacing="0" w:after="105" w:afterAutospacing="0" w:line="360" w:lineRule="auto"/>
        <w:ind w:firstLine="480" w:firstLineChars="200"/>
        <w:textAlignment w:val="center"/>
        <w:rPr>
          <w:rFonts w:hint="eastAsia" w:ascii="宋体" w:hAnsi="宋体" w:eastAsia="宋体" w:cs="宋体"/>
          <w:color w:val="333333"/>
          <w:szCs w:val="24"/>
          <w:shd w:val="clear" w:color="auto" w:fill="FFFFFF"/>
          <w:lang w:val="en-US" w:eastAsia="zh-CN"/>
        </w:rPr>
      </w:pPr>
      <w:r>
        <w:rPr>
          <w:rFonts w:hint="eastAsia" w:ascii="宋体" w:hAnsi="宋体" w:eastAsia="宋体" w:cs="宋体"/>
          <w:color w:val="333333"/>
          <w:szCs w:val="24"/>
          <w:shd w:val="clear" w:color="auto" w:fill="FFFFFF"/>
          <w:lang w:val="en-US" w:eastAsia="zh-CN"/>
        </w:rPr>
        <w:t>8.机关运行经费:是指为保障单位运行用于购买货物和服务的各项资金。</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5" w:beforeAutospacing="0" w:after="105" w:afterAutospacing="0" w:line="360" w:lineRule="auto"/>
        <w:ind w:left="478" w:leftChars="228" w:firstLine="0" w:firstLineChars="0"/>
        <w:textAlignment w:val="center"/>
        <w:rPr>
          <w:rFonts w:hint="default" w:ascii="宋体" w:hAnsi="宋体" w:eastAsia="宋体" w:cs="宋体"/>
          <w:color w:val="333333"/>
          <w:szCs w:val="24"/>
          <w:shd w:val="clear" w:color="auto" w:fill="FFFFFF"/>
          <w:lang w:val="en-US" w:eastAsia="zh-CN"/>
        </w:rPr>
      </w:pPr>
      <w:r>
        <w:rPr>
          <w:rFonts w:hint="eastAsia" w:ascii="宋体" w:hAnsi="宋体" w:eastAsia="宋体" w:cs="宋体"/>
          <w:color w:val="333333"/>
          <w:szCs w:val="24"/>
          <w:shd w:val="clear" w:color="auto" w:fill="FFFFFF"/>
          <w:lang w:val="en-US" w:eastAsia="zh-CN"/>
        </w:rPr>
        <w:t>9.“三公”经费：</w:t>
      </w:r>
      <w:r>
        <w:rPr>
          <w:rFonts w:hint="default" w:ascii="宋体" w:hAnsi="宋体" w:eastAsia="宋体" w:cs="宋体"/>
          <w:color w:val="333333"/>
          <w:szCs w:val="24"/>
          <w:shd w:val="clear" w:color="auto" w:fill="FFFFFF"/>
          <w:lang w:val="en-US" w:eastAsia="zh-CN"/>
        </w:rPr>
        <w:t>指政府部门人员因公出国（境）经费、公务车购置及运行费、公务招待费产生的消费</w:t>
      </w:r>
      <w:r>
        <w:rPr>
          <w:rFonts w:hint="eastAsia" w:ascii="宋体" w:hAnsi="宋体" w:eastAsia="宋体" w:cs="宋体"/>
          <w:color w:val="333333"/>
          <w:szCs w:val="24"/>
          <w:shd w:val="clear" w:color="auto" w:fill="FFFFFF"/>
          <w:lang w:val="en-US" w:eastAsia="zh-CN"/>
        </w:rPr>
        <w:t>。</w:t>
      </w:r>
    </w:p>
    <w:p>
      <w:pPr>
        <w:widowControl/>
        <w:jc w:val="left"/>
        <w:rPr>
          <w:rFonts w:asciiTheme="minorEastAsia" w:hAnsiTheme="minorEastAsia"/>
          <w:i/>
          <w:color w:val="FF000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jc w:val="center"/>
        <w:rPr>
          <w:rFonts w:ascii="黑体" w:eastAsia="黑体" w:cs="黑体"/>
          <w:color w:val="000000"/>
          <w:kern w:val="0"/>
          <w:sz w:val="70"/>
          <w:szCs w:val="70"/>
        </w:rPr>
      </w:pPr>
    </w:p>
    <w:p>
      <w:pPr>
        <w:widowControl/>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570248"/>
    <w:multiLevelType w:val="singleLevel"/>
    <w:tmpl w:val="D7570248"/>
    <w:lvl w:ilvl="0" w:tentative="0">
      <w:start w:val="2"/>
      <w:numFmt w:val="decimal"/>
      <w:suff w:val="nothing"/>
      <w:lvlText w:val="%1、"/>
      <w:lvlJc w:val="left"/>
    </w:lvl>
  </w:abstractNum>
  <w:abstractNum w:abstractNumId="1">
    <w:nsid w:val="0637CEFC"/>
    <w:multiLevelType w:val="singleLevel"/>
    <w:tmpl w:val="0637CEFC"/>
    <w:lvl w:ilvl="0" w:tentative="0">
      <w:start w:val="1"/>
      <w:numFmt w:val="chineseCounting"/>
      <w:suff w:val="nothing"/>
      <w:lvlText w:val="%1、"/>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67551"/>
    <w:rsid w:val="00074155"/>
    <w:rsid w:val="000A3F69"/>
    <w:rsid w:val="00103E82"/>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A72C38"/>
    <w:rsid w:val="00AA490C"/>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1750705"/>
    <w:rsid w:val="05A27B1C"/>
    <w:rsid w:val="06F80D28"/>
    <w:rsid w:val="0D25332D"/>
    <w:rsid w:val="112C3A43"/>
    <w:rsid w:val="14350BD2"/>
    <w:rsid w:val="14AF76A3"/>
    <w:rsid w:val="15C733D2"/>
    <w:rsid w:val="17295442"/>
    <w:rsid w:val="182647A7"/>
    <w:rsid w:val="1C4C359E"/>
    <w:rsid w:val="1EC06EAA"/>
    <w:rsid w:val="20557AB0"/>
    <w:rsid w:val="20AC1E09"/>
    <w:rsid w:val="23815328"/>
    <w:rsid w:val="23D76489"/>
    <w:rsid w:val="253318DB"/>
    <w:rsid w:val="26A230CE"/>
    <w:rsid w:val="27507DD2"/>
    <w:rsid w:val="275F6728"/>
    <w:rsid w:val="2BBA2D50"/>
    <w:rsid w:val="2BF05DFA"/>
    <w:rsid w:val="32F6346B"/>
    <w:rsid w:val="35240720"/>
    <w:rsid w:val="37B1493B"/>
    <w:rsid w:val="3D4E353A"/>
    <w:rsid w:val="3EDE00CB"/>
    <w:rsid w:val="443671D4"/>
    <w:rsid w:val="49C74DA0"/>
    <w:rsid w:val="49CA3137"/>
    <w:rsid w:val="4CAD3DA8"/>
    <w:rsid w:val="4EBB2846"/>
    <w:rsid w:val="513B6D59"/>
    <w:rsid w:val="531B38AA"/>
    <w:rsid w:val="53680303"/>
    <w:rsid w:val="56CB6BF2"/>
    <w:rsid w:val="5AEA6A45"/>
    <w:rsid w:val="5CCA35C0"/>
    <w:rsid w:val="5ED86909"/>
    <w:rsid w:val="5F703260"/>
    <w:rsid w:val="63BC0CF5"/>
    <w:rsid w:val="68026B3D"/>
    <w:rsid w:val="6C6F6810"/>
    <w:rsid w:val="73844C49"/>
    <w:rsid w:val="77AA6F6B"/>
    <w:rsid w:val="7D4B5D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1265</Words>
  <Characters>7214</Characters>
  <Lines>60</Lines>
  <Paragraphs>16</Paragraphs>
  <TotalTime>21</TotalTime>
  <ScaleCrop>false</ScaleCrop>
  <LinksUpToDate>false</LinksUpToDate>
  <CharactersWithSpaces>8463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2020-09-09T00:53:00Z</dcterms:created>
  <dc:creator>李航 null</dc:creator>
  <cp:lastModifiedBy>Administrator</cp:lastModifiedBy>
  <cp:lastPrinted>2020-07-15T07:25:00Z</cp:lastPrinted>
  <dcterms:modified xsi:type="dcterms:W3CDTF">2021-08-23T06:48:59Z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2E77D90E04AE46EFBD1758EA2F28AB8A</vt:lpwstr>
  </property>
</Properties>
</file>