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FB6AE5">
      <w:pPr>
        <w:spacing w:before="148" w:line="226" w:lineRule="auto"/>
        <w:ind w:left="4644"/>
        <w:outlineLvl w:val="0"/>
        <w:rPr>
          <w:rFonts w:ascii="SimSun" w:hAnsi="SimSun" w:eastAsia="SimSun" w:cs="SimSun"/>
          <w:sz w:val="42"/>
          <w:szCs w:val="42"/>
        </w:rPr>
      </w:pPr>
      <w:bookmarkStart w:id="0" w:name="_GoBack"/>
      <w:bookmarkEnd w:id="0"/>
      <w:r>
        <w:rPr>
          <w:rFonts w:ascii="SimSun" w:hAnsi="SimSun" w:eastAsia="SimSun" w:cs="SimSun"/>
          <w:spacing w:val="-45"/>
          <w:sz w:val="42"/>
          <w:szCs w:val="42"/>
        </w:rPr>
        <w:t>目录</w:t>
      </w:r>
    </w:p>
    <w:p w14:paraId="3B855908">
      <w:pPr>
        <w:spacing w:before="330" w:line="227" w:lineRule="auto"/>
        <w:ind w:left="590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pacing w:val="13"/>
          <w:sz w:val="30"/>
          <w:szCs w:val="30"/>
        </w:rPr>
        <w:t>第一部分： 2025年部门预算说明</w:t>
      </w:r>
    </w:p>
    <w:p w14:paraId="2759CB6E">
      <w:pPr>
        <w:pStyle w:val="2"/>
        <w:spacing w:before="46" w:line="228" w:lineRule="auto"/>
        <w:ind w:left="920"/>
      </w:pPr>
      <w:r>
        <w:rPr>
          <w:spacing w:val="7"/>
        </w:rPr>
        <w:t>一、部门基本概况</w:t>
      </w:r>
    </w:p>
    <w:p w14:paraId="569DA35D">
      <w:pPr>
        <w:pStyle w:val="2"/>
        <w:spacing w:before="40" w:line="227" w:lineRule="auto"/>
        <w:ind w:left="934"/>
      </w:pPr>
      <w:r>
        <w:rPr>
          <w:spacing w:val="10"/>
        </w:rPr>
        <w:t>二、部门预算单位构成</w:t>
      </w:r>
    </w:p>
    <w:p w14:paraId="7CFB4696">
      <w:pPr>
        <w:pStyle w:val="2"/>
        <w:spacing w:before="50" w:line="228" w:lineRule="auto"/>
        <w:ind w:left="933"/>
      </w:pPr>
      <w:r>
        <w:rPr>
          <w:spacing w:val="10"/>
        </w:rPr>
        <w:t>三、部门收支总体情况</w:t>
      </w:r>
    </w:p>
    <w:p w14:paraId="6E010333">
      <w:pPr>
        <w:pStyle w:val="2"/>
        <w:spacing w:before="43" w:line="228" w:lineRule="auto"/>
        <w:ind w:left="1019"/>
      </w:pPr>
      <w:r>
        <w:rPr>
          <w:spacing w:val="6"/>
        </w:rPr>
        <w:t>四、一般公共预算拨款支出预算</w:t>
      </w:r>
    </w:p>
    <w:p w14:paraId="06F6600A">
      <w:pPr>
        <w:pStyle w:val="2"/>
        <w:spacing w:before="43" w:line="226" w:lineRule="auto"/>
        <w:ind w:left="920"/>
      </w:pPr>
      <w:r>
        <w:rPr>
          <w:spacing w:val="11"/>
        </w:rPr>
        <w:t>五、政府性基金预算支出</w:t>
      </w:r>
    </w:p>
    <w:p w14:paraId="45E029F1">
      <w:pPr>
        <w:pStyle w:val="2"/>
        <w:spacing w:before="52" w:line="228" w:lineRule="auto"/>
        <w:ind w:left="913"/>
      </w:pPr>
      <w:r>
        <w:rPr>
          <w:spacing w:val="13"/>
        </w:rPr>
        <w:t>六、其他重要事项的情况说明</w:t>
      </w:r>
    </w:p>
    <w:p w14:paraId="545CA096">
      <w:pPr>
        <w:pStyle w:val="2"/>
        <w:spacing w:before="40" w:line="227" w:lineRule="auto"/>
        <w:ind w:left="1001"/>
      </w:pPr>
      <w:r>
        <w:rPr>
          <w:spacing w:val="7"/>
        </w:rPr>
        <w:t>（一）机关运行经费</w:t>
      </w:r>
    </w:p>
    <w:p w14:paraId="2A01AB21">
      <w:pPr>
        <w:pStyle w:val="2"/>
        <w:spacing w:before="51" w:line="228" w:lineRule="auto"/>
        <w:ind w:left="999"/>
      </w:pPr>
      <w:r>
        <w:t>（二）“三公 ”经费预算</w:t>
      </w:r>
    </w:p>
    <w:p w14:paraId="458A17AF">
      <w:pPr>
        <w:pStyle w:val="2"/>
        <w:spacing w:before="38" w:line="226" w:lineRule="auto"/>
        <w:ind w:left="999"/>
      </w:pPr>
      <w:r>
        <w:rPr>
          <w:spacing w:val="10"/>
        </w:rPr>
        <w:t>（三）一般性支出情况</w:t>
      </w:r>
    </w:p>
    <w:p w14:paraId="4C6949A4">
      <w:pPr>
        <w:pStyle w:val="2"/>
        <w:spacing w:before="54" w:line="229" w:lineRule="auto"/>
        <w:ind w:left="999"/>
      </w:pPr>
      <w:r>
        <w:rPr>
          <w:spacing w:val="2"/>
        </w:rPr>
        <w:t>（</w:t>
      </w:r>
      <w:r>
        <w:rPr>
          <w:spacing w:val="-89"/>
        </w:rPr>
        <w:t xml:space="preserve"> </w:t>
      </w:r>
      <w:r>
        <w:rPr>
          <w:spacing w:val="2"/>
        </w:rPr>
        <w:t>四）政府采购情况</w:t>
      </w:r>
    </w:p>
    <w:p w14:paraId="2056E9A2">
      <w:pPr>
        <w:pStyle w:val="2"/>
        <w:spacing w:before="43" w:line="229" w:lineRule="auto"/>
        <w:ind w:left="999"/>
      </w:pPr>
      <w:r>
        <w:rPr>
          <w:spacing w:val="6"/>
        </w:rPr>
        <w:t>（五） 国有资产占用使用及新增资产配置情况</w:t>
      </w:r>
    </w:p>
    <w:p w14:paraId="5BA02CF2">
      <w:pPr>
        <w:pStyle w:val="2"/>
        <w:spacing w:before="43" w:line="228" w:lineRule="auto"/>
        <w:ind w:left="999"/>
      </w:pPr>
      <w:r>
        <w:rPr>
          <w:spacing w:val="9"/>
        </w:rPr>
        <w:t>（六）预算绩效目标说明</w:t>
      </w:r>
    </w:p>
    <w:p w14:paraId="3D1C4151">
      <w:pPr>
        <w:pStyle w:val="2"/>
        <w:spacing w:before="45" w:line="229" w:lineRule="auto"/>
        <w:ind w:left="1010"/>
        <w:outlineLvl w:val="1"/>
      </w:pPr>
      <w:r>
        <w:rPr>
          <w:spacing w:val="6"/>
        </w:rPr>
        <w:t>七、名词解释</w:t>
      </w:r>
    </w:p>
    <w:p w14:paraId="10AFE796">
      <w:pPr>
        <w:spacing w:before="41" w:line="228" w:lineRule="auto"/>
        <w:ind w:left="590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pacing w:val="11"/>
          <w:sz w:val="30"/>
          <w:szCs w:val="30"/>
        </w:rPr>
        <w:t>第二部分：</w:t>
      </w:r>
      <w:r>
        <w:rPr>
          <w:rFonts w:ascii="SimHei" w:hAnsi="SimHei" w:eastAsia="SimHei" w:cs="SimHei"/>
          <w:spacing w:val="46"/>
          <w:sz w:val="30"/>
          <w:szCs w:val="30"/>
        </w:rPr>
        <w:t xml:space="preserve"> </w:t>
      </w:r>
      <w:r>
        <w:rPr>
          <w:rFonts w:ascii="SimHei" w:hAnsi="SimHei" w:eastAsia="SimHei" w:cs="SimHei"/>
          <w:spacing w:val="11"/>
          <w:sz w:val="30"/>
          <w:szCs w:val="30"/>
        </w:rPr>
        <w:t>2025年部门预算表</w:t>
      </w:r>
    </w:p>
    <w:p w14:paraId="1BCB6B19">
      <w:pPr>
        <w:pStyle w:val="2"/>
        <w:spacing w:before="50" w:line="229" w:lineRule="auto"/>
        <w:ind w:left="1123"/>
      </w:pPr>
      <w:r>
        <w:rPr>
          <w:spacing w:val="-2"/>
        </w:rPr>
        <w:t>1、收支总表</w:t>
      </w:r>
    </w:p>
    <w:p w14:paraId="5D1FE259">
      <w:pPr>
        <w:pStyle w:val="2"/>
        <w:spacing w:before="41" w:line="229" w:lineRule="auto"/>
        <w:ind w:left="1063"/>
      </w:pPr>
      <w:r>
        <w:rPr>
          <w:spacing w:val="6"/>
        </w:rPr>
        <w:t>2、收入总表</w:t>
      </w:r>
    </w:p>
    <w:p w14:paraId="755A39CE">
      <w:pPr>
        <w:pStyle w:val="2"/>
        <w:spacing w:before="45" w:line="230" w:lineRule="auto"/>
        <w:ind w:left="1072"/>
      </w:pPr>
      <w:r>
        <w:rPr>
          <w:spacing w:val="6"/>
        </w:rPr>
        <w:t>3、支出总表</w:t>
      </w:r>
    </w:p>
    <w:p w14:paraId="7F4EE91E">
      <w:pPr>
        <w:pStyle w:val="2"/>
        <w:spacing w:before="39" w:line="229" w:lineRule="auto"/>
        <w:ind w:left="1048"/>
      </w:pPr>
      <w:r>
        <w:rPr>
          <w:spacing w:val="12"/>
        </w:rPr>
        <w:t>4、财政拨款收支总表</w:t>
      </w:r>
    </w:p>
    <w:p w14:paraId="7501A6AC">
      <w:pPr>
        <w:pStyle w:val="2"/>
        <w:spacing w:before="40" w:line="228" w:lineRule="auto"/>
        <w:ind w:left="1072"/>
      </w:pPr>
      <w:r>
        <w:rPr>
          <w:spacing w:val="12"/>
        </w:rPr>
        <w:t>5、一般公共预算支出表</w:t>
      </w:r>
    </w:p>
    <w:p w14:paraId="7D5DD154">
      <w:pPr>
        <w:pStyle w:val="2"/>
        <w:spacing w:before="45" w:line="228" w:lineRule="auto"/>
        <w:ind w:left="1059"/>
      </w:pPr>
      <w:r>
        <w:rPr>
          <w:spacing w:val="14"/>
        </w:rPr>
        <w:t>6、一般公共预算基本支出表</w:t>
      </w:r>
    </w:p>
    <w:p w14:paraId="27BB332F">
      <w:pPr>
        <w:pStyle w:val="2"/>
        <w:spacing w:before="45" w:line="228" w:lineRule="auto"/>
        <w:ind w:left="1073"/>
      </w:pPr>
      <w:r>
        <w:rPr>
          <w:spacing w:val="7"/>
        </w:rPr>
        <w:t>7、一般公共预算“三公 ”经费支出表</w:t>
      </w:r>
    </w:p>
    <w:p w14:paraId="607F443F">
      <w:pPr>
        <w:pStyle w:val="2"/>
        <w:spacing w:before="40" w:line="226" w:lineRule="auto"/>
        <w:ind w:left="1058"/>
      </w:pPr>
      <w:r>
        <w:rPr>
          <w:spacing w:val="12"/>
        </w:rPr>
        <w:t>8、政府性基金预算支出表</w:t>
      </w:r>
    </w:p>
    <w:p w14:paraId="0FF0E560">
      <w:pPr>
        <w:pStyle w:val="2"/>
        <w:spacing w:before="54" w:line="229" w:lineRule="auto"/>
        <w:ind w:left="1058"/>
      </w:pPr>
      <w:r>
        <w:rPr>
          <w:spacing w:val="11"/>
        </w:rPr>
        <w:t>9、项目支出绩效目标表</w:t>
      </w:r>
    </w:p>
    <w:p w14:paraId="6B82D6CE">
      <w:pPr>
        <w:pStyle w:val="2"/>
        <w:spacing w:before="41" w:line="228" w:lineRule="auto"/>
        <w:ind w:left="1123"/>
      </w:pPr>
      <w:r>
        <w:rPr>
          <w:spacing w:val="8"/>
        </w:rPr>
        <w:t>10、部门整体支出绩效目标表</w:t>
      </w:r>
    </w:p>
    <w:p w14:paraId="5A75BD0D">
      <w:pPr>
        <w:spacing w:line="262" w:lineRule="auto"/>
        <w:rPr>
          <w:rFonts w:ascii="Arial"/>
          <w:sz w:val="21"/>
        </w:rPr>
      </w:pPr>
    </w:p>
    <w:p w14:paraId="1FE10584">
      <w:pPr>
        <w:pStyle w:val="2"/>
        <w:spacing w:before="98" w:line="228" w:lineRule="auto"/>
      </w:pPr>
      <w:r>
        <w:rPr>
          <w:spacing w:val="11"/>
        </w:rPr>
        <w:t>注：</w:t>
      </w:r>
      <w:r>
        <w:rPr>
          <w:spacing w:val="-86"/>
        </w:rPr>
        <w:t xml:space="preserve"> </w:t>
      </w:r>
      <w:r>
        <w:rPr>
          <w:spacing w:val="11"/>
        </w:rPr>
        <w:t>以上部门预算报表中，空表表示本部门无</w:t>
      </w:r>
      <w:r>
        <w:rPr>
          <w:spacing w:val="10"/>
        </w:rPr>
        <w:t>相关收支情况。</w:t>
      </w:r>
    </w:p>
    <w:p w14:paraId="12B0246D">
      <w:pPr>
        <w:spacing w:line="228" w:lineRule="auto"/>
        <w:sectPr>
          <w:pgSz w:w="11906" w:h="16840"/>
          <w:pgMar w:top="1431" w:right="1785" w:bottom="0" w:left="1166" w:header="0" w:footer="0" w:gutter="0"/>
          <w:cols w:space="720" w:num="1"/>
        </w:sectPr>
      </w:pPr>
    </w:p>
    <w:p w14:paraId="24A8DAD9">
      <w:pPr>
        <w:spacing w:before="119" w:line="227" w:lineRule="auto"/>
        <w:rPr>
          <w:rFonts w:ascii="SimHei" w:hAnsi="SimHei" w:eastAsia="SimHei" w:cs="SimHei"/>
          <w:sz w:val="34"/>
          <w:szCs w:val="34"/>
        </w:rPr>
      </w:pPr>
      <w:r>
        <w:rPr>
          <w:rFonts w:ascii="SimHei" w:hAnsi="SimHei" w:eastAsia="SimHei" w:cs="SimHei"/>
          <w:spacing w:val="3"/>
          <w:sz w:val="34"/>
          <w:szCs w:val="34"/>
        </w:rPr>
        <w:t>第一部分：</w:t>
      </w:r>
    </w:p>
    <w:p w14:paraId="39C8D5A4">
      <w:pPr>
        <w:spacing w:line="244" w:lineRule="auto"/>
        <w:rPr>
          <w:rFonts w:ascii="Arial"/>
          <w:sz w:val="21"/>
        </w:rPr>
      </w:pPr>
    </w:p>
    <w:p w14:paraId="7AF7E611">
      <w:pPr>
        <w:spacing w:before="111" w:line="225" w:lineRule="auto"/>
        <w:ind w:left="2893"/>
        <w:outlineLvl w:val="0"/>
        <w:rPr>
          <w:rFonts w:ascii="SimSun" w:hAnsi="SimSun" w:eastAsia="SimSun" w:cs="SimSun"/>
          <w:sz w:val="34"/>
          <w:szCs w:val="34"/>
        </w:rPr>
      </w:pPr>
      <w:r>
        <w:rPr>
          <w:rFonts w:ascii="SimSun" w:hAnsi="SimSun" w:eastAsia="SimSun" w:cs="SimSun"/>
          <w:b/>
          <w:bCs/>
          <w:spacing w:val="4"/>
          <w:sz w:val="34"/>
          <w:szCs w:val="34"/>
        </w:rPr>
        <w:t>2025年部门预算公开说明</w:t>
      </w:r>
    </w:p>
    <w:p w14:paraId="07905106">
      <w:pPr>
        <w:spacing w:line="305" w:lineRule="auto"/>
        <w:rPr>
          <w:rFonts w:ascii="Arial"/>
          <w:sz w:val="21"/>
        </w:rPr>
      </w:pPr>
    </w:p>
    <w:p w14:paraId="2E98E6FC">
      <w:pPr>
        <w:spacing w:before="98" w:line="227" w:lineRule="auto"/>
        <w:ind w:left="634"/>
        <w:outlineLvl w:val="1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pacing w:val="11"/>
          <w:sz w:val="30"/>
          <w:szCs w:val="30"/>
        </w:rPr>
        <w:t>一、部门基本概况</w:t>
      </w:r>
    </w:p>
    <w:p w14:paraId="531A9175">
      <w:pPr>
        <w:spacing w:before="55" w:line="231" w:lineRule="auto"/>
        <w:ind w:left="691"/>
        <w:outlineLvl w:val="2"/>
        <w:rPr>
          <w:rFonts w:ascii="KaiTi" w:hAnsi="KaiTi" w:eastAsia="KaiTi" w:cs="KaiTi"/>
          <w:sz w:val="30"/>
          <w:szCs w:val="30"/>
        </w:rPr>
      </w:pPr>
      <w:r>
        <w:rPr>
          <w:rFonts w:ascii="KaiTi" w:hAnsi="KaiTi" w:eastAsia="KaiTi" w:cs="KaiTi"/>
          <w:spacing w:val="2"/>
          <w:sz w:val="30"/>
          <w:szCs w:val="30"/>
        </w:rPr>
        <w:t>（一）职能职责</w:t>
      </w:r>
    </w:p>
    <w:p w14:paraId="35132D55">
      <w:pPr>
        <w:pStyle w:val="2"/>
        <w:spacing w:before="64" w:line="236" w:lineRule="auto"/>
        <w:ind w:left="28" w:right="220" w:firstLine="670"/>
      </w:pPr>
      <w:r>
        <w:rPr>
          <w:spacing w:val="13"/>
        </w:rPr>
        <w:t>1、党政办公室。承担机关日常运转和综合协调处置等职责。负</w:t>
      </w:r>
      <w:r>
        <w:rPr>
          <w:spacing w:val="10"/>
        </w:rPr>
        <w:t xml:space="preserve"> </w:t>
      </w:r>
      <w:r>
        <w:rPr>
          <w:spacing w:val="14"/>
        </w:rPr>
        <w:t>责办文办会、</w:t>
      </w:r>
      <w:r>
        <w:rPr>
          <w:spacing w:val="-67"/>
        </w:rPr>
        <w:t xml:space="preserve"> </w:t>
      </w:r>
      <w:r>
        <w:rPr>
          <w:spacing w:val="14"/>
        </w:rPr>
        <w:t>国安、机要保密、档案管理、督办、后勤保障等综合</w:t>
      </w:r>
      <w:r>
        <w:t xml:space="preserve"> </w:t>
      </w:r>
      <w:r>
        <w:rPr>
          <w:spacing w:val="10"/>
        </w:rPr>
        <w:t>性事务；牵头全面深化改革工作。</w:t>
      </w:r>
    </w:p>
    <w:p w14:paraId="4B70A0D7">
      <w:pPr>
        <w:pStyle w:val="2"/>
        <w:spacing w:before="76" w:line="227" w:lineRule="auto"/>
        <w:ind w:left="641"/>
      </w:pPr>
      <w:r>
        <w:rPr>
          <w:spacing w:val="14"/>
        </w:rPr>
        <w:t>2、党建办公室。承担辖区内基层党的建设等职责。负责组织、</w:t>
      </w:r>
    </w:p>
    <w:p w14:paraId="0B987CDB">
      <w:pPr>
        <w:pStyle w:val="2"/>
        <w:spacing w:before="41" w:line="228" w:lineRule="auto"/>
        <w:ind w:left="30"/>
      </w:pPr>
      <w:r>
        <w:rPr>
          <w:spacing w:val="17"/>
        </w:rPr>
        <w:t>效能、机构编制、人事、人才、机关干部队伍建设、</w:t>
      </w:r>
      <w:r>
        <w:rPr>
          <w:spacing w:val="16"/>
        </w:rPr>
        <w:t>老干部、关心</w:t>
      </w:r>
    </w:p>
    <w:p w14:paraId="36EA446E">
      <w:pPr>
        <w:pStyle w:val="2"/>
        <w:spacing w:before="38" w:line="226" w:lineRule="auto"/>
        <w:ind w:left="32"/>
      </w:pPr>
      <w:r>
        <w:rPr>
          <w:spacing w:val="17"/>
        </w:rPr>
        <w:t>下一代等工作；负责宣传思想、意识形态、精神文</w:t>
      </w:r>
      <w:r>
        <w:rPr>
          <w:spacing w:val="16"/>
        </w:rPr>
        <w:t>明建设、新时代</w:t>
      </w:r>
    </w:p>
    <w:p w14:paraId="2AC0BA2F">
      <w:pPr>
        <w:pStyle w:val="2"/>
        <w:spacing w:before="50" w:line="235" w:lineRule="auto"/>
        <w:ind w:left="18" w:right="2"/>
      </w:pPr>
      <w:r>
        <w:rPr>
          <w:spacing w:val="8"/>
        </w:rPr>
        <w:t>文明实践、</w:t>
      </w:r>
      <w:r>
        <w:rPr>
          <w:spacing w:val="-22"/>
        </w:rPr>
        <w:t xml:space="preserve"> </w:t>
      </w:r>
      <w:r>
        <w:rPr>
          <w:spacing w:val="8"/>
        </w:rPr>
        <w:t>网信等工作；负责统一战线、 民族宗教工作；负责</w:t>
      </w:r>
      <w:r>
        <w:rPr>
          <w:spacing w:val="7"/>
        </w:rPr>
        <w:t>组织协</w:t>
      </w:r>
      <w:r>
        <w:t xml:space="preserve"> </w:t>
      </w:r>
      <w:r>
        <w:rPr>
          <w:spacing w:val="14"/>
        </w:rPr>
        <w:t>调辖区内群团组织开展工作。负责基层治理和基层政权建设、</w:t>
      </w:r>
      <w:r>
        <w:rPr>
          <w:spacing w:val="-107"/>
        </w:rPr>
        <w:t xml:space="preserve"> </w:t>
      </w:r>
      <w:r>
        <w:rPr>
          <w:spacing w:val="14"/>
        </w:rPr>
        <w:t>“</w:t>
      </w:r>
      <w:r>
        <w:rPr>
          <w:spacing w:val="-35"/>
        </w:rPr>
        <w:t xml:space="preserve"> </w:t>
      </w:r>
      <w:r>
        <w:rPr>
          <w:spacing w:val="14"/>
        </w:rPr>
        <w:t>两</w:t>
      </w:r>
    </w:p>
    <w:p w14:paraId="37DBFDBF">
      <w:pPr>
        <w:pStyle w:val="2"/>
        <w:spacing w:before="55" w:line="234" w:lineRule="auto"/>
        <w:ind w:left="22" w:right="374"/>
      </w:pPr>
      <w:r>
        <w:rPr>
          <w:spacing w:val="10"/>
        </w:rPr>
        <w:t>企三新 ”党建、志愿服务和社会工作服务、人民建议征集以及</w:t>
      </w:r>
      <w:r>
        <w:rPr>
          <w:spacing w:val="9"/>
        </w:rPr>
        <w:t>行业</w:t>
      </w:r>
      <w:r>
        <w:t xml:space="preserve"> </w:t>
      </w:r>
      <w:r>
        <w:rPr>
          <w:spacing w:val="7"/>
        </w:rPr>
        <w:t>协会商会相关工作等。</w:t>
      </w:r>
    </w:p>
    <w:p w14:paraId="4FF24000">
      <w:pPr>
        <w:pStyle w:val="2"/>
        <w:spacing w:before="92" w:line="243" w:lineRule="auto"/>
        <w:ind w:left="28" w:right="228" w:firstLine="620"/>
      </w:pPr>
      <w:r>
        <w:rPr>
          <w:spacing w:val="15"/>
        </w:rPr>
        <w:t>3、经济发展办公室。承担辖区内经济发展服务和优化营</w:t>
      </w:r>
      <w:r>
        <w:rPr>
          <w:spacing w:val="14"/>
        </w:rPr>
        <w:t>商环境</w:t>
      </w:r>
      <w:r>
        <w:t xml:space="preserve"> </w:t>
      </w:r>
      <w:r>
        <w:rPr>
          <w:spacing w:val="17"/>
        </w:rPr>
        <w:t>等职责。负责经济发展规划的制定和落实等工作；负责发</w:t>
      </w:r>
      <w:r>
        <w:rPr>
          <w:spacing w:val="16"/>
        </w:rPr>
        <w:t>展和改革</w:t>
      </w:r>
      <w:r>
        <w:t xml:space="preserve"> </w:t>
      </w:r>
      <w:r>
        <w:rPr>
          <w:spacing w:val="13"/>
        </w:rPr>
        <w:t>、工业和信息化、</w:t>
      </w:r>
      <w:r>
        <w:rPr>
          <w:spacing w:val="-85"/>
        </w:rPr>
        <w:t xml:space="preserve"> </w:t>
      </w:r>
      <w:r>
        <w:rPr>
          <w:spacing w:val="13"/>
        </w:rPr>
        <w:t>电力、商务、统计、科技、市</w:t>
      </w:r>
      <w:r>
        <w:rPr>
          <w:spacing w:val="12"/>
        </w:rPr>
        <w:t>场监管、金融等相</w:t>
      </w:r>
      <w:r>
        <w:t xml:space="preserve">  </w:t>
      </w:r>
      <w:r>
        <w:rPr>
          <w:spacing w:val="17"/>
        </w:rPr>
        <w:t>关领域工作；负责优化区域发展环境，统筹协调与经济发</w:t>
      </w:r>
      <w:r>
        <w:rPr>
          <w:spacing w:val="16"/>
        </w:rPr>
        <w:t>展相关的</w:t>
      </w:r>
      <w:r>
        <w:t xml:space="preserve"> 其他工作。</w:t>
      </w:r>
    </w:p>
    <w:p w14:paraId="76D13075">
      <w:pPr>
        <w:pStyle w:val="2"/>
        <w:spacing w:before="96"/>
        <w:ind w:left="44" w:right="228" w:firstLine="582"/>
      </w:pPr>
      <w:r>
        <w:rPr>
          <w:spacing w:val="10"/>
        </w:rPr>
        <w:t>4、 民生事务办公室。承担辖区内民生服务保障和社会事务管理</w:t>
      </w:r>
      <w:r>
        <w:t xml:space="preserve"> </w:t>
      </w:r>
      <w:r>
        <w:rPr>
          <w:spacing w:val="9"/>
        </w:rPr>
        <w:t>等职责。负责人力资源和社会保障、 民政、残疾人事务、医疗保障</w:t>
      </w:r>
      <w:r>
        <w:rPr>
          <w:spacing w:val="4"/>
        </w:rPr>
        <w:t xml:space="preserve">  </w:t>
      </w:r>
      <w:r>
        <w:rPr>
          <w:spacing w:val="16"/>
        </w:rPr>
        <w:t>、教育、文化、旅游、广播电视、体育、文物保护、卫生健康等相</w:t>
      </w:r>
      <w:r>
        <w:rPr>
          <w:spacing w:val="17"/>
        </w:rPr>
        <w:t xml:space="preserve"> </w:t>
      </w:r>
      <w:r>
        <w:t>关领域工作。</w:t>
      </w:r>
    </w:p>
    <w:p w14:paraId="76D60B23">
      <w:pPr>
        <w:pStyle w:val="2"/>
        <w:spacing w:before="92" w:line="243" w:lineRule="auto"/>
        <w:ind w:left="18" w:right="201" w:firstLine="630"/>
      </w:pPr>
      <w:r>
        <w:rPr>
          <w:spacing w:val="16"/>
        </w:rPr>
        <w:t>5、平安法治和应急管理办公室。承担辖区内社会治安</w:t>
      </w:r>
      <w:r>
        <w:rPr>
          <w:spacing w:val="15"/>
        </w:rPr>
        <w:t>综合治理</w:t>
      </w:r>
      <w:r>
        <w:t xml:space="preserve"> </w:t>
      </w:r>
      <w:r>
        <w:rPr>
          <w:spacing w:val="17"/>
        </w:rPr>
        <w:t>、维护社会稳定和应急管理等职责。负责平安建设、扫黑除恶斗争</w:t>
      </w:r>
      <w:r>
        <w:t xml:space="preserve">  </w:t>
      </w:r>
      <w:r>
        <w:rPr>
          <w:spacing w:val="15"/>
        </w:rPr>
        <w:t>、司法、依法行政、法治建设、禁毒等工作；负责安全生产、防汛</w:t>
      </w:r>
      <w:r>
        <w:rPr>
          <w:spacing w:val="1"/>
        </w:rPr>
        <w:t xml:space="preserve">  </w:t>
      </w:r>
      <w:r>
        <w:rPr>
          <w:spacing w:val="17"/>
        </w:rPr>
        <w:t>抗旱、森林防灭火、防灾减灾救灾、消防安全和道路交通安全等工</w:t>
      </w:r>
      <w:r>
        <w:t xml:space="preserve">  </w:t>
      </w:r>
      <w:r>
        <w:rPr>
          <w:spacing w:val="15"/>
        </w:rPr>
        <w:t>作；负责组织开展应急知识宣传普及和应急演练，做好自然灾害、</w:t>
      </w:r>
    </w:p>
    <w:p w14:paraId="3E1CC88B">
      <w:pPr>
        <w:pStyle w:val="2"/>
        <w:spacing w:before="88" w:line="238" w:lineRule="auto"/>
        <w:ind w:left="18"/>
        <w:jc w:val="both"/>
      </w:pPr>
      <w:r>
        <w:rPr>
          <w:spacing w:val="24"/>
        </w:rPr>
        <w:t>事故灾难</w:t>
      </w:r>
      <w:r>
        <w:rPr>
          <w:spacing w:val="-87"/>
        </w:rPr>
        <w:t xml:space="preserve"> </w:t>
      </w:r>
      <w:r>
        <w:rPr>
          <w:spacing w:val="24"/>
        </w:rPr>
        <w:t>、公共卫生事件等突发事件的应急处置等工作</w:t>
      </w:r>
      <w:r>
        <w:rPr>
          <w:spacing w:val="-87"/>
        </w:rPr>
        <w:t xml:space="preserve"> </w:t>
      </w:r>
      <w:r>
        <w:rPr>
          <w:spacing w:val="24"/>
        </w:rPr>
        <w:t>；</w:t>
      </w:r>
      <w:r>
        <w:rPr>
          <w:spacing w:val="23"/>
        </w:rPr>
        <w:t>坚持和发</w:t>
      </w:r>
      <w:r>
        <w:t xml:space="preserve"> </w:t>
      </w:r>
      <w:r>
        <w:rPr>
          <w:spacing w:val="19"/>
        </w:rPr>
        <w:t>展新时代“枫桥经验</w:t>
      </w:r>
      <w:r>
        <w:rPr>
          <w:spacing w:val="-44"/>
        </w:rPr>
        <w:t xml:space="preserve"> </w:t>
      </w:r>
      <w:r>
        <w:rPr>
          <w:spacing w:val="19"/>
        </w:rPr>
        <w:t>”,积极协调处理化解发生在辖区内的信访事项</w:t>
      </w:r>
      <w:r>
        <w:t xml:space="preserve"> </w:t>
      </w:r>
      <w:r>
        <w:rPr>
          <w:spacing w:val="3"/>
        </w:rPr>
        <w:t>和矛盾纠纷。</w:t>
      </w:r>
    </w:p>
    <w:p w14:paraId="3F3FACDB">
      <w:pPr>
        <w:spacing w:line="238" w:lineRule="auto"/>
        <w:sectPr>
          <w:pgSz w:w="11906" w:h="16840"/>
          <w:pgMar w:top="1431" w:right="1237" w:bottom="0" w:left="1122" w:header="0" w:footer="0" w:gutter="0"/>
          <w:cols w:space="720" w:num="1"/>
        </w:sectPr>
      </w:pPr>
    </w:p>
    <w:p w14:paraId="39E904D9">
      <w:pPr>
        <w:pStyle w:val="2"/>
        <w:spacing w:before="137" w:line="234" w:lineRule="auto"/>
        <w:ind w:left="19" w:firstLine="600"/>
      </w:pPr>
      <w:r>
        <w:rPr>
          <w:spacing w:val="13"/>
        </w:rPr>
        <w:t>6、财政办公室。负责编制街道年度财政预决算草案并组织执行</w:t>
      </w:r>
      <w:r>
        <w:rPr>
          <w:spacing w:val="100"/>
        </w:rPr>
        <w:t xml:space="preserve"> </w:t>
      </w:r>
      <w:r>
        <w:rPr>
          <w:spacing w:val="13"/>
        </w:rPr>
        <w:t>;</w:t>
      </w:r>
      <w:r>
        <w:t xml:space="preserve"> </w:t>
      </w:r>
      <w:r>
        <w:rPr>
          <w:spacing w:val="15"/>
        </w:rPr>
        <w:t>负责非税收入、 国有资产和债权债务管理；负责财政性资金的监督</w:t>
      </w:r>
    </w:p>
    <w:p w14:paraId="484C87A9">
      <w:pPr>
        <w:pStyle w:val="2"/>
        <w:spacing w:before="54" w:line="242" w:lineRule="auto"/>
        <w:ind w:right="447" w:firstLine="33"/>
      </w:pPr>
      <w:r>
        <w:rPr>
          <w:spacing w:val="15"/>
        </w:rPr>
        <w:t>管理；负责街道财务核算和管理工作；负责财政票据、涉农补贴资</w:t>
      </w:r>
      <w:r>
        <w:rPr>
          <w:spacing w:val="11"/>
        </w:rPr>
        <w:t xml:space="preserve"> </w:t>
      </w:r>
      <w:r>
        <w:rPr>
          <w:spacing w:val="17"/>
        </w:rPr>
        <w:t>金的发放管理和监督；负责街道和村(社区</w:t>
      </w:r>
      <w:r>
        <w:rPr>
          <w:spacing w:val="16"/>
        </w:rPr>
        <w:t>)级财政资金的内部监管</w:t>
      </w:r>
      <w:r>
        <w:t xml:space="preserve"> </w:t>
      </w:r>
      <w:r>
        <w:rPr>
          <w:spacing w:val="17"/>
        </w:rPr>
        <w:t>和审计以及村(社区)级、组级财务的业务</w:t>
      </w:r>
      <w:r>
        <w:rPr>
          <w:spacing w:val="16"/>
        </w:rPr>
        <w:t>指导；负责收入征收的组</w:t>
      </w:r>
      <w:r>
        <w:t xml:space="preserve"> </w:t>
      </w:r>
      <w:r>
        <w:rPr>
          <w:spacing w:val="5"/>
        </w:rPr>
        <w:t>织协调等工作。</w:t>
      </w:r>
    </w:p>
    <w:p w14:paraId="1A52D615">
      <w:pPr>
        <w:pStyle w:val="2"/>
        <w:spacing w:before="92" w:line="247" w:lineRule="auto"/>
        <w:ind w:right="341" w:firstLine="637"/>
      </w:pPr>
      <w:r>
        <w:rPr>
          <w:spacing w:val="15"/>
        </w:rPr>
        <w:t>7、生态事务中心。负责辖区内水、大气、土壤、农环整治</w:t>
      </w:r>
      <w:r>
        <w:rPr>
          <w:spacing w:val="14"/>
        </w:rPr>
        <w:t>、噪</w:t>
      </w:r>
      <w:r>
        <w:t xml:space="preserve"> </w:t>
      </w:r>
      <w:r>
        <w:rPr>
          <w:spacing w:val="14"/>
        </w:rPr>
        <w:t>声、</w:t>
      </w:r>
      <w:r>
        <w:rPr>
          <w:spacing w:val="-63"/>
        </w:rPr>
        <w:t xml:space="preserve"> </w:t>
      </w:r>
      <w:r>
        <w:rPr>
          <w:spacing w:val="14"/>
        </w:rPr>
        <w:t>固体废物等环境污染防治和生态环境保护等事务性工作；负责</w:t>
      </w:r>
      <w:r>
        <w:t xml:space="preserve"> </w:t>
      </w:r>
      <w:r>
        <w:rPr>
          <w:spacing w:val="17"/>
        </w:rPr>
        <w:t>生态环境保护宣传教育、生态环境普法等相关工作；协助辖区内生</w:t>
      </w:r>
      <w:r>
        <w:t xml:space="preserve"> </w:t>
      </w:r>
      <w:r>
        <w:rPr>
          <w:spacing w:val="17"/>
        </w:rPr>
        <w:t>态环境信访、举报、纠纷调处等工作，发现问题及时报告；协助突</w:t>
      </w:r>
      <w:r>
        <w:t xml:space="preserve"> </w:t>
      </w:r>
      <w:r>
        <w:rPr>
          <w:spacing w:val="17"/>
        </w:rPr>
        <w:t>发环境事件处置、突出环境问题整改、环境执法、环境风险隐患排</w:t>
      </w:r>
      <w:r>
        <w:t xml:space="preserve"> </w:t>
      </w:r>
      <w:r>
        <w:rPr>
          <w:spacing w:val="17"/>
        </w:rPr>
        <w:t>查、生态环境损害赔偿处理等工作。负责农业、林业、水利、农业</w:t>
      </w:r>
      <w:r>
        <w:t xml:space="preserve"> </w:t>
      </w:r>
      <w:r>
        <w:rPr>
          <w:spacing w:val="17"/>
        </w:rPr>
        <w:t>机械、畜牧兽医水产等基层农业技术推广，农作物病虫害监测与防</w:t>
      </w:r>
      <w:r>
        <w:t xml:space="preserve"> </w:t>
      </w:r>
      <w:r>
        <w:rPr>
          <w:spacing w:val="15"/>
        </w:rPr>
        <w:t>治、动植物疫病防控防治、农田水利建设、农产品质量安全监测、</w:t>
      </w:r>
    </w:p>
    <w:p w14:paraId="698A63AD">
      <w:pPr>
        <w:pStyle w:val="2"/>
        <w:spacing w:before="74" w:line="233" w:lineRule="auto"/>
        <w:ind w:left="13" w:right="445" w:firstLine="2"/>
      </w:pPr>
      <w:r>
        <w:rPr>
          <w:spacing w:val="17"/>
        </w:rPr>
        <w:t>人居环境等服务性、技术性工作；负责农业产业发展</w:t>
      </w:r>
      <w:r>
        <w:rPr>
          <w:spacing w:val="16"/>
        </w:rPr>
        <w:t>、农村集体经</w:t>
      </w:r>
      <w:r>
        <w:t xml:space="preserve"> </w:t>
      </w:r>
      <w:r>
        <w:rPr>
          <w:spacing w:val="11"/>
        </w:rPr>
        <w:t>济发展、</w:t>
      </w:r>
      <w:r>
        <w:rPr>
          <w:spacing w:val="-71"/>
        </w:rPr>
        <w:t xml:space="preserve"> </w:t>
      </w:r>
      <w:r>
        <w:rPr>
          <w:spacing w:val="11"/>
        </w:rPr>
        <w:t>乡村振兴、巩固拓展脱贫攻坚成果等事务性工作。</w:t>
      </w:r>
    </w:p>
    <w:p w14:paraId="2FD64F09">
      <w:pPr>
        <w:pStyle w:val="2"/>
        <w:spacing w:before="82" w:line="241" w:lineRule="auto"/>
        <w:ind w:right="454" w:firstLine="618"/>
      </w:pPr>
      <w:r>
        <w:rPr>
          <w:spacing w:val="6"/>
        </w:rPr>
        <w:t>8、 自然资源和城市建设事务中心。负责自然资源、规划建设、</w:t>
      </w:r>
      <w:r>
        <w:t xml:space="preserve"> </w:t>
      </w:r>
      <w:r>
        <w:rPr>
          <w:spacing w:val="17"/>
        </w:rPr>
        <w:t>耕地保护、测量标志保护管理、土地征收、拆迁安置、城市更新、</w:t>
      </w:r>
      <w:r>
        <w:t xml:space="preserve"> </w:t>
      </w:r>
      <w:r>
        <w:rPr>
          <w:spacing w:val="17"/>
        </w:rPr>
        <w:t>房屋安全、物业管理等事务性工作；负责重点工程项目等建设领域</w:t>
      </w:r>
      <w:r>
        <w:t xml:space="preserve"> </w:t>
      </w:r>
      <w:r>
        <w:rPr>
          <w:spacing w:val="6"/>
        </w:rPr>
        <w:t>的协调服务工作。</w:t>
      </w:r>
    </w:p>
    <w:p w14:paraId="386D62D1">
      <w:pPr>
        <w:pStyle w:val="2"/>
        <w:spacing w:before="102" w:line="244" w:lineRule="auto"/>
        <w:ind w:right="454" w:firstLine="618"/>
      </w:pPr>
      <w:r>
        <w:rPr>
          <w:spacing w:val="15"/>
        </w:rPr>
        <w:t>9、便民服务中心。负责网格化综合治理和12345热线等平台的</w:t>
      </w:r>
      <w:r>
        <w:rPr>
          <w:spacing w:val="7"/>
        </w:rPr>
        <w:t xml:space="preserve"> </w:t>
      </w:r>
      <w:r>
        <w:rPr>
          <w:spacing w:val="17"/>
        </w:rPr>
        <w:t>服务管理工作；负责政务公开工作；负责集中受理和办理涉及经济</w:t>
      </w:r>
      <w:r>
        <w:t xml:space="preserve"> </w:t>
      </w:r>
      <w:r>
        <w:rPr>
          <w:spacing w:val="17"/>
        </w:rPr>
        <w:t>发展、公共管理以及与群众密切相关的公共服务、便民服务；负责</w:t>
      </w:r>
      <w:r>
        <w:t xml:space="preserve"> </w:t>
      </w:r>
      <w:r>
        <w:rPr>
          <w:spacing w:val="17"/>
        </w:rPr>
        <w:t>政务服务大厅建设，拓展服务功能，充分发挥街道综合便民服务作</w:t>
      </w:r>
      <w:r>
        <w:t xml:space="preserve"> </w:t>
      </w:r>
      <w:r>
        <w:rPr>
          <w:spacing w:val="-5"/>
        </w:rPr>
        <w:t>用。</w:t>
      </w:r>
    </w:p>
    <w:p w14:paraId="1B3DE2B8">
      <w:pPr>
        <w:pStyle w:val="2"/>
        <w:spacing w:before="74" w:line="243" w:lineRule="auto"/>
        <w:ind w:right="454" w:firstLine="682"/>
      </w:pPr>
      <w:r>
        <w:rPr>
          <w:spacing w:val="14"/>
        </w:rPr>
        <w:t>10、退役军人服务站。负责贯彻宣传落实退役军人有关政策，</w:t>
      </w:r>
      <w:r>
        <w:rPr>
          <w:spacing w:val="17"/>
        </w:rPr>
        <w:t xml:space="preserve"> 维护退役军人合法权益；做好退役军人和其他优抚对象思想政治引</w:t>
      </w:r>
      <w:r>
        <w:t xml:space="preserve"> </w:t>
      </w:r>
      <w:r>
        <w:rPr>
          <w:spacing w:val="17"/>
        </w:rPr>
        <w:t>领、来访接待、政策解答、信访事项办理、优抚帮扶和走访慰问工</w:t>
      </w:r>
      <w:r>
        <w:t xml:space="preserve"> </w:t>
      </w:r>
      <w:r>
        <w:rPr>
          <w:spacing w:val="17"/>
        </w:rPr>
        <w:t>作；配合做好优抚金发放、退役军人关系转接、档案移交、属地退</w:t>
      </w:r>
      <w:r>
        <w:t xml:space="preserve"> </w:t>
      </w:r>
      <w:r>
        <w:rPr>
          <w:spacing w:val="15"/>
        </w:rPr>
        <w:t>役军人数据库建设维护等工作；引导推荐扶持退役军人创业就业。</w:t>
      </w:r>
    </w:p>
    <w:p w14:paraId="413DEA94">
      <w:pPr>
        <w:pStyle w:val="2"/>
        <w:spacing w:before="90" w:line="237" w:lineRule="auto"/>
        <w:ind w:right="454" w:firstLine="683"/>
      </w:pPr>
      <w:r>
        <w:rPr>
          <w:spacing w:val="12"/>
        </w:rPr>
        <w:t>11、综合行政执法大队。负责辖区内综合行政执法及城市管理</w:t>
      </w:r>
      <w:r>
        <w:rPr>
          <w:spacing w:val="6"/>
        </w:rPr>
        <w:t xml:space="preserve"> </w:t>
      </w:r>
      <w:r>
        <w:rPr>
          <w:spacing w:val="17"/>
        </w:rPr>
        <w:t>职责。负责统一指挥管理、统筹使用城市管理和其他执法力量，开</w:t>
      </w:r>
      <w:r>
        <w:t xml:space="preserve"> </w:t>
      </w:r>
      <w:r>
        <w:rPr>
          <w:spacing w:val="17"/>
        </w:rPr>
        <w:t>展综合行政执法工作；负责协同配合上级执法机构开展联合执法等</w:t>
      </w:r>
    </w:p>
    <w:p w14:paraId="14500BBC">
      <w:pPr>
        <w:spacing w:line="237" w:lineRule="auto"/>
        <w:sectPr>
          <w:pgSz w:w="11906" w:h="16840"/>
          <w:pgMar w:top="1431" w:right="1119" w:bottom="0" w:left="1137" w:header="0" w:footer="0" w:gutter="0"/>
          <w:cols w:space="720" w:num="1"/>
        </w:sectPr>
      </w:pPr>
    </w:p>
    <w:p w14:paraId="619CE81B">
      <w:pPr>
        <w:pStyle w:val="2"/>
        <w:spacing w:before="134" w:line="237" w:lineRule="auto"/>
        <w:ind w:left="27" w:right="283"/>
        <w:jc w:val="both"/>
      </w:pPr>
      <w:r>
        <w:rPr>
          <w:spacing w:val="23"/>
        </w:rPr>
        <w:t>相关工作；负责推进行政执法规范化建设，提升执</w:t>
      </w:r>
      <w:r>
        <w:rPr>
          <w:spacing w:val="22"/>
        </w:rPr>
        <w:t>法效能；负责辖</w:t>
      </w:r>
      <w:r>
        <w:t xml:space="preserve"> </w:t>
      </w:r>
      <w:r>
        <w:rPr>
          <w:spacing w:val="18"/>
        </w:rPr>
        <w:t>区市容环境卫生、</w:t>
      </w:r>
      <w:r>
        <w:rPr>
          <w:spacing w:val="-10"/>
        </w:rPr>
        <w:t xml:space="preserve"> </w:t>
      </w:r>
      <w:r>
        <w:rPr>
          <w:spacing w:val="18"/>
        </w:rPr>
        <w:t>园林绿化建设维护、市政公用设施运行、拆违控</w:t>
      </w:r>
      <w:r>
        <w:t xml:space="preserve"> </w:t>
      </w:r>
      <w:r>
        <w:rPr>
          <w:spacing w:val="11"/>
        </w:rPr>
        <w:t>违和依法承担的其他城市综合管理工作。</w:t>
      </w:r>
    </w:p>
    <w:p w14:paraId="776ACCC4">
      <w:pPr>
        <w:spacing w:before="78" w:line="235" w:lineRule="auto"/>
        <w:ind w:left="690"/>
        <w:rPr>
          <w:rFonts w:ascii="KaiTi" w:hAnsi="KaiTi" w:eastAsia="KaiTi" w:cs="KaiTi"/>
          <w:sz w:val="30"/>
          <w:szCs w:val="30"/>
        </w:rPr>
      </w:pPr>
      <w:r>
        <w:rPr>
          <w:rFonts w:ascii="KaiTi" w:hAnsi="KaiTi" w:eastAsia="KaiTi" w:cs="KaiTi"/>
          <w:spacing w:val="1"/>
          <w:sz w:val="30"/>
          <w:szCs w:val="30"/>
        </w:rPr>
        <w:t>（二）机构设置</w:t>
      </w:r>
    </w:p>
    <w:p w14:paraId="64E944CC">
      <w:pPr>
        <w:pStyle w:val="2"/>
        <w:spacing w:before="43" w:line="244" w:lineRule="auto"/>
        <w:ind w:left="43" w:right="129" w:firstLine="600"/>
      </w:pPr>
      <w:r>
        <w:rPr>
          <w:spacing w:val="16"/>
        </w:rPr>
        <w:t xml:space="preserve">长沙市望城区月亮岛街道办事处内设机构11个包括：党政办公室 </w:t>
      </w:r>
      <w:r>
        <w:rPr>
          <w:spacing w:val="10"/>
        </w:rPr>
        <w:t>、党建办公室、经济发展办公室、 民生事务办公室、平安法治和应急</w:t>
      </w:r>
      <w:r>
        <w:rPr>
          <w:spacing w:val="11"/>
        </w:rPr>
        <w:t xml:space="preserve"> 管理办公室、财政办公室、生态事务中心、 自然资源和城市建设事务</w:t>
      </w:r>
      <w:r>
        <w:rPr>
          <w:spacing w:val="9"/>
        </w:rPr>
        <w:t xml:space="preserve"> </w:t>
      </w:r>
      <w:r>
        <w:rPr>
          <w:spacing w:val="17"/>
        </w:rPr>
        <w:t>中心、便民服务中心、退役军人服务站、综合</w:t>
      </w:r>
      <w:r>
        <w:rPr>
          <w:spacing w:val="16"/>
        </w:rPr>
        <w:t>行政执法大队。本部门</w:t>
      </w:r>
      <w:r>
        <w:t xml:space="preserve"> </w:t>
      </w:r>
      <w:r>
        <w:rPr>
          <w:spacing w:val="9"/>
        </w:rPr>
        <w:t>共有编制人数78人，实有人数91人。</w:t>
      </w:r>
    </w:p>
    <w:p w14:paraId="60245F71">
      <w:pPr>
        <w:spacing w:before="54" w:line="228" w:lineRule="auto"/>
        <w:ind w:left="633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pacing w:val="13"/>
          <w:sz w:val="30"/>
          <w:szCs w:val="30"/>
        </w:rPr>
        <w:t>二、部门预算单位构成</w:t>
      </w:r>
    </w:p>
    <w:p w14:paraId="6ED76132">
      <w:pPr>
        <w:pStyle w:val="2"/>
        <w:spacing w:before="73" w:line="238" w:lineRule="auto"/>
        <w:ind w:left="17" w:right="139" w:firstLine="626"/>
      </w:pPr>
      <w:r>
        <w:rPr>
          <w:spacing w:val="17"/>
        </w:rPr>
        <w:t>长沙市望城区月亮岛街道办事处部门只有本级，没有其他</w:t>
      </w:r>
      <w:r>
        <w:rPr>
          <w:spacing w:val="16"/>
        </w:rPr>
        <w:t>二级预</w:t>
      </w:r>
      <w:r>
        <w:t xml:space="preserve"> </w:t>
      </w:r>
      <w:r>
        <w:rPr>
          <w:spacing w:val="14"/>
        </w:rPr>
        <w:t>算单位，</w:t>
      </w:r>
      <w:r>
        <w:rPr>
          <w:spacing w:val="-82"/>
        </w:rPr>
        <w:t xml:space="preserve"> </w:t>
      </w:r>
      <w:r>
        <w:rPr>
          <w:spacing w:val="14"/>
        </w:rPr>
        <w:t>因此，纳入2025年部门预算编制范围的只有长沙市望城区月</w:t>
      </w:r>
      <w:r>
        <w:t xml:space="preserve"> </w:t>
      </w:r>
      <w:r>
        <w:rPr>
          <w:spacing w:val="9"/>
        </w:rPr>
        <w:t>亮岛街道办事处部门本级。</w:t>
      </w:r>
    </w:p>
    <w:p w14:paraId="11FF1664">
      <w:pPr>
        <w:spacing w:before="52" w:line="229" w:lineRule="auto"/>
        <w:ind w:left="639"/>
        <w:outlineLvl w:val="1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pacing w:val="13"/>
          <w:sz w:val="30"/>
          <w:szCs w:val="30"/>
        </w:rPr>
        <w:t>三、部门收支总体情况</w:t>
      </w:r>
    </w:p>
    <w:p w14:paraId="4F155EA3">
      <w:pPr>
        <w:pStyle w:val="2"/>
        <w:spacing w:before="71" w:line="238" w:lineRule="auto"/>
        <w:ind w:left="36" w:right="139" w:firstLine="654"/>
      </w:pPr>
      <w:r>
        <w:rPr>
          <w:rFonts w:ascii="KaiTi" w:hAnsi="KaiTi" w:eastAsia="KaiTi" w:cs="KaiTi"/>
          <w:spacing w:val="10"/>
        </w:rPr>
        <w:t>（一）收入预算：</w:t>
      </w:r>
      <w:r>
        <w:rPr>
          <w:spacing w:val="10"/>
        </w:rPr>
        <w:t>包括一般公共预算、政府性基金、 国有资本经</w:t>
      </w:r>
      <w:r>
        <w:rPr>
          <w:spacing w:val="4"/>
        </w:rPr>
        <w:t xml:space="preserve"> </w:t>
      </w:r>
      <w:r>
        <w:rPr>
          <w:spacing w:val="13"/>
        </w:rPr>
        <w:t>营预算等财政拨款收入，</w:t>
      </w:r>
      <w:r>
        <w:rPr>
          <w:spacing w:val="-79"/>
        </w:rPr>
        <w:t xml:space="preserve"> </w:t>
      </w:r>
      <w:r>
        <w:rPr>
          <w:spacing w:val="13"/>
        </w:rPr>
        <w:t>以及经营收入、事业收入等单位资金。2025</w:t>
      </w:r>
      <w:r>
        <w:t xml:space="preserve"> </w:t>
      </w:r>
      <w:r>
        <w:rPr>
          <w:spacing w:val="14"/>
        </w:rPr>
        <w:t>年本部门收入预算14,287.67万元，其中，一般公共预算拨款收入</w:t>
      </w:r>
    </w:p>
    <w:p w14:paraId="31F72014">
      <w:pPr>
        <w:pStyle w:val="2"/>
        <w:spacing w:before="69" w:line="235" w:lineRule="auto"/>
        <w:ind w:left="27" w:hanging="28"/>
      </w:pPr>
      <w:r>
        <w:rPr>
          <w:rFonts w:hint="eastAsia"/>
          <w:spacing w:val="13"/>
          <w:lang w:val="en-US" w:eastAsia="zh-CN"/>
        </w:rPr>
        <w:t>9194.67</w:t>
      </w:r>
      <w:r>
        <w:rPr>
          <w:spacing w:val="13"/>
        </w:rPr>
        <w:t>万元，</w:t>
      </w:r>
      <w:r>
        <w:rPr>
          <w:rFonts w:hint="eastAsia"/>
          <w:spacing w:val="13"/>
          <w:lang w:eastAsia="zh-CN"/>
        </w:rPr>
        <w:t>政府性基金收入</w:t>
      </w:r>
      <w:r>
        <w:rPr>
          <w:rFonts w:hint="eastAsia"/>
          <w:spacing w:val="13"/>
          <w:lang w:val="en-US" w:eastAsia="zh-CN"/>
        </w:rPr>
        <w:t>1400万元，</w:t>
      </w:r>
      <w:r>
        <w:rPr>
          <w:spacing w:val="13"/>
        </w:rPr>
        <w:t>其他收入</w:t>
      </w:r>
      <w:r>
        <w:rPr>
          <w:rFonts w:hint="eastAsia"/>
          <w:spacing w:val="13"/>
          <w:lang w:val="en-US" w:eastAsia="zh-CN"/>
        </w:rPr>
        <w:t>3693万元</w:t>
      </w:r>
      <w:r>
        <w:rPr>
          <w:spacing w:val="13"/>
        </w:rPr>
        <w:t>。收入较去年减少802.33万元，主要</w:t>
      </w:r>
      <w:r>
        <w:rPr>
          <w:spacing w:val="9"/>
        </w:rPr>
        <w:t>原因是征拆项目减少。</w:t>
      </w:r>
    </w:p>
    <w:p w14:paraId="7F27EDB9">
      <w:pPr>
        <w:pStyle w:val="2"/>
        <w:spacing w:before="67" w:line="238" w:lineRule="auto"/>
        <w:ind w:left="16" w:right="139" w:firstLine="673"/>
      </w:pPr>
      <w:r>
        <w:rPr>
          <w:rFonts w:ascii="KaiTi" w:hAnsi="KaiTi" w:eastAsia="KaiTi" w:cs="KaiTi"/>
          <w:spacing w:val="13"/>
        </w:rPr>
        <w:t>（二）支出预算：</w:t>
      </w:r>
      <w:r>
        <w:rPr>
          <w:spacing w:val="13"/>
        </w:rPr>
        <w:t>2025年本部门支出预</w:t>
      </w:r>
      <w:r>
        <w:rPr>
          <w:color w:val="auto"/>
          <w:spacing w:val="13"/>
        </w:rPr>
        <w:t>算14,287.</w:t>
      </w:r>
      <w:r>
        <w:rPr>
          <w:color w:val="auto"/>
          <w:spacing w:val="12"/>
        </w:rPr>
        <w:t>67万元。一般</w:t>
      </w:r>
      <w:r>
        <w:rPr>
          <w:color w:val="auto"/>
          <w:spacing w:val="14"/>
        </w:rPr>
        <w:t>公共服务支出</w:t>
      </w:r>
      <w:r>
        <w:rPr>
          <w:rFonts w:hint="eastAsia"/>
          <w:color w:val="auto"/>
          <w:spacing w:val="14"/>
          <w:lang w:val="en-US" w:eastAsia="zh-CN"/>
        </w:rPr>
        <w:t>8538</w:t>
      </w:r>
      <w:r>
        <w:rPr>
          <w:color w:val="auto"/>
          <w:spacing w:val="14"/>
        </w:rPr>
        <w:t>万元，社会保障和就业支出</w:t>
      </w:r>
      <w:r>
        <w:rPr>
          <w:rFonts w:hint="eastAsia"/>
          <w:color w:val="auto"/>
          <w:spacing w:val="14"/>
          <w:lang w:val="en-US" w:eastAsia="zh-CN"/>
        </w:rPr>
        <w:t>400</w:t>
      </w:r>
      <w:r>
        <w:rPr>
          <w:color w:val="auto"/>
          <w:spacing w:val="14"/>
        </w:rPr>
        <w:t>万元，卫生健康支出</w:t>
      </w:r>
      <w:r>
        <w:rPr>
          <w:rFonts w:hint="eastAsia"/>
          <w:color w:val="auto"/>
          <w:spacing w:val="14"/>
          <w:lang w:val="en-US" w:eastAsia="zh-CN"/>
        </w:rPr>
        <w:t>120</w:t>
      </w:r>
      <w:r>
        <w:rPr>
          <w:color w:val="auto"/>
          <w:spacing w:val="14"/>
        </w:rPr>
        <w:t>万元，</w:t>
      </w:r>
      <w:r>
        <w:rPr>
          <w:rFonts w:hint="eastAsia"/>
          <w:color w:val="auto"/>
          <w:spacing w:val="14"/>
          <w:lang w:eastAsia="zh-CN"/>
        </w:rPr>
        <w:t>文体旅游体育和传媒支出</w:t>
      </w:r>
      <w:r>
        <w:rPr>
          <w:rFonts w:hint="eastAsia"/>
          <w:color w:val="auto"/>
          <w:spacing w:val="14"/>
          <w:lang w:val="en-US" w:eastAsia="zh-CN"/>
        </w:rPr>
        <w:t>100万元，</w:t>
      </w:r>
      <w:r>
        <w:rPr>
          <w:color w:val="auto"/>
          <w:spacing w:val="14"/>
        </w:rPr>
        <w:t>住房保障支出</w:t>
      </w:r>
      <w:r>
        <w:rPr>
          <w:rFonts w:hint="eastAsia"/>
          <w:color w:val="auto"/>
          <w:spacing w:val="14"/>
          <w:lang w:val="en-US" w:eastAsia="zh-CN"/>
        </w:rPr>
        <w:t>450</w:t>
      </w:r>
      <w:r>
        <w:rPr>
          <w:color w:val="auto"/>
          <w:spacing w:val="14"/>
        </w:rPr>
        <w:t>万</w:t>
      </w:r>
      <w:r>
        <w:rPr>
          <w:color w:val="auto"/>
          <w:spacing w:val="13"/>
        </w:rPr>
        <w:t>元，城乡社区支出</w:t>
      </w:r>
      <w:r>
        <w:rPr>
          <w:rFonts w:hint="eastAsia"/>
          <w:color w:val="auto"/>
          <w:spacing w:val="14"/>
          <w:lang w:val="en-US" w:eastAsia="zh-CN"/>
        </w:rPr>
        <w:t>3000</w:t>
      </w:r>
      <w:r>
        <w:rPr>
          <w:color w:val="auto"/>
          <w:spacing w:val="14"/>
        </w:rPr>
        <w:t>万元，农林水支出</w:t>
      </w:r>
      <w:r>
        <w:rPr>
          <w:rFonts w:hint="eastAsia"/>
          <w:color w:val="auto"/>
          <w:spacing w:val="14"/>
          <w:lang w:val="en-US" w:eastAsia="zh-CN"/>
        </w:rPr>
        <w:t>185</w:t>
      </w:r>
      <w:r>
        <w:rPr>
          <w:color w:val="auto"/>
          <w:spacing w:val="14"/>
        </w:rPr>
        <w:t>万元，</w:t>
      </w:r>
      <w:r>
        <w:rPr>
          <w:rFonts w:hint="eastAsia"/>
          <w:color w:val="auto"/>
          <w:spacing w:val="14"/>
          <w:lang w:eastAsia="zh-CN"/>
        </w:rPr>
        <w:t>交通运输</w:t>
      </w:r>
      <w:r>
        <w:rPr>
          <w:rFonts w:hint="eastAsia"/>
          <w:color w:val="auto"/>
          <w:spacing w:val="14"/>
          <w:lang w:val="en-US" w:eastAsia="zh-CN"/>
        </w:rPr>
        <w:t>10万元，</w:t>
      </w:r>
      <w:r>
        <w:rPr>
          <w:color w:val="auto"/>
          <w:spacing w:val="14"/>
        </w:rPr>
        <w:t>公共安全支出</w:t>
      </w:r>
      <w:r>
        <w:rPr>
          <w:rFonts w:hint="eastAsia"/>
          <w:color w:val="auto"/>
          <w:spacing w:val="14"/>
          <w:lang w:val="en-US" w:eastAsia="zh-CN"/>
        </w:rPr>
        <w:t>350</w:t>
      </w:r>
      <w:r>
        <w:rPr>
          <w:color w:val="auto"/>
          <w:spacing w:val="14"/>
        </w:rPr>
        <w:t>万元，节</w:t>
      </w:r>
      <w:r>
        <w:rPr>
          <w:color w:val="auto"/>
          <w:spacing w:val="13"/>
        </w:rPr>
        <w:t>能环保</w:t>
      </w:r>
      <w:r>
        <w:rPr>
          <w:color w:val="auto"/>
          <w:spacing w:val="12"/>
        </w:rPr>
        <w:t>支出</w:t>
      </w:r>
      <w:r>
        <w:rPr>
          <w:rFonts w:hint="eastAsia"/>
          <w:color w:val="auto"/>
          <w:spacing w:val="12"/>
          <w:lang w:val="en-US" w:eastAsia="zh-CN"/>
        </w:rPr>
        <w:t>80</w:t>
      </w:r>
      <w:r>
        <w:rPr>
          <w:color w:val="auto"/>
          <w:spacing w:val="12"/>
        </w:rPr>
        <w:t>万元，</w:t>
      </w:r>
      <w:r>
        <w:rPr>
          <w:color w:val="auto"/>
          <w:spacing w:val="-80"/>
        </w:rPr>
        <w:t xml:space="preserve"> </w:t>
      </w:r>
      <w:r>
        <w:rPr>
          <w:color w:val="auto"/>
          <w:spacing w:val="12"/>
        </w:rPr>
        <w:t>国防支出10万元，</w:t>
      </w:r>
      <w:r>
        <w:rPr>
          <w:rFonts w:hint="eastAsia"/>
          <w:color w:val="auto"/>
          <w:spacing w:val="12"/>
          <w:lang w:eastAsia="zh-CN"/>
        </w:rPr>
        <w:t>教育支出</w:t>
      </w:r>
      <w:r>
        <w:rPr>
          <w:rFonts w:hint="eastAsia"/>
          <w:color w:val="auto"/>
          <w:spacing w:val="12"/>
          <w:lang w:val="en-US" w:eastAsia="zh-CN"/>
        </w:rPr>
        <w:t>25万元，</w:t>
      </w:r>
      <w:r>
        <w:rPr>
          <w:color w:val="auto"/>
          <w:spacing w:val="12"/>
        </w:rPr>
        <w:t>其他支出</w:t>
      </w:r>
      <w:r>
        <w:rPr>
          <w:rFonts w:hint="eastAsia"/>
          <w:color w:val="auto"/>
          <w:spacing w:val="12"/>
          <w:lang w:val="en-US" w:eastAsia="zh-CN"/>
        </w:rPr>
        <w:t>1019.67</w:t>
      </w:r>
      <w:r>
        <w:rPr>
          <w:color w:val="auto"/>
          <w:spacing w:val="12"/>
        </w:rPr>
        <w:t>万元。</w:t>
      </w:r>
      <w:r>
        <w:rPr>
          <w:color w:val="auto"/>
          <w:spacing w:val="11"/>
        </w:rPr>
        <w:t>支出较去年减</w:t>
      </w:r>
      <w:r>
        <w:rPr>
          <w:color w:val="auto"/>
          <w:spacing w:val="9"/>
        </w:rPr>
        <w:t>少802.33万元</w:t>
      </w:r>
      <w:r>
        <w:rPr>
          <w:spacing w:val="9"/>
        </w:rPr>
        <w:t>，主要是征拆项目减少。</w:t>
      </w:r>
    </w:p>
    <w:p w14:paraId="10DB4C6C">
      <w:pPr>
        <w:spacing w:before="41" w:line="227" w:lineRule="auto"/>
        <w:ind w:left="709"/>
        <w:outlineLvl w:val="1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pacing w:val="11"/>
          <w:sz w:val="30"/>
          <w:szCs w:val="30"/>
        </w:rPr>
        <w:t>四、一般公共预算拨款支出</w:t>
      </w:r>
    </w:p>
    <w:p w14:paraId="77BF702B">
      <w:pPr>
        <w:pStyle w:val="2"/>
        <w:spacing w:before="66" w:line="235" w:lineRule="auto"/>
        <w:ind w:left="7" w:right="127" w:firstLine="652"/>
      </w:pPr>
      <w:r>
        <w:rPr>
          <w:spacing w:val="14"/>
        </w:rPr>
        <w:t>2025年本部门一般公共预算拨款支出预算</w:t>
      </w:r>
      <w:r>
        <w:rPr>
          <w:rFonts w:hint="eastAsia"/>
          <w:spacing w:val="14"/>
          <w:lang w:val="en-US" w:eastAsia="zh-CN"/>
        </w:rPr>
        <w:t>9194</w:t>
      </w:r>
      <w:r>
        <w:rPr>
          <w:spacing w:val="14"/>
        </w:rPr>
        <w:t>.67万元，具体安</w:t>
      </w:r>
      <w:r>
        <w:rPr>
          <w:spacing w:val="2"/>
        </w:rPr>
        <w:t>排情况如下：</w:t>
      </w:r>
    </w:p>
    <w:p w14:paraId="6D60C6C8">
      <w:pPr>
        <w:pStyle w:val="2"/>
        <w:spacing w:before="87" w:line="244" w:lineRule="auto"/>
        <w:ind w:left="21" w:right="144" w:firstLine="702"/>
      </w:pPr>
      <w:r>
        <w:rPr>
          <w:rFonts w:ascii="KaiTi" w:hAnsi="KaiTi" w:eastAsia="KaiTi" w:cs="KaiTi"/>
          <w:spacing w:val="12"/>
        </w:rPr>
        <w:t>（一）基本支出：</w:t>
      </w:r>
      <w:r>
        <w:rPr>
          <w:spacing w:val="12"/>
        </w:rPr>
        <w:t>2025年本部门基本支出预算数</w:t>
      </w:r>
      <w:r>
        <w:rPr>
          <w:rFonts w:hint="eastAsia"/>
          <w:spacing w:val="12"/>
          <w:lang w:val="en-US" w:eastAsia="zh-CN"/>
        </w:rPr>
        <w:t>7394.67</w:t>
      </w:r>
      <w:r>
        <w:rPr>
          <w:spacing w:val="11"/>
        </w:rPr>
        <w:t>万元，</w:t>
      </w:r>
      <w:r>
        <w:rPr>
          <w:spacing w:val="17"/>
        </w:rPr>
        <w:t>是指为保障单位机构正常运转、完成日常工作任务而发生的各</w:t>
      </w:r>
      <w:r>
        <w:rPr>
          <w:spacing w:val="16"/>
        </w:rPr>
        <w:t>项支出</w:t>
      </w:r>
      <w:r>
        <w:t xml:space="preserve"> </w:t>
      </w:r>
      <w:r>
        <w:rPr>
          <w:spacing w:val="19"/>
        </w:rPr>
        <w:t>,包括用于基本工资、津贴补贴等人员经费以及办公费、</w:t>
      </w:r>
      <w:r>
        <w:rPr>
          <w:spacing w:val="-79"/>
        </w:rPr>
        <w:t xml:space="preserve"> </w:t>
      </w:r>
      <w:r>
        <w:rPr>
          <w:spacing w:val="19"/>
        </w:rPr>
        <w:t>印刷费、水</w:t>
      </w:r>
      <w:r>
        <w:t xml:space="preserve"> </w:t>
      </w:r>
      <w:r>
        <w:rPr>
          <w:spacing w:val="12"/>
        </w:rPr>
        <w:t>电费、办公设备购置等</w:t>
      </w:r>
      <w:r>
        <w:rPr>
          <w:spacing w:val="-51"/>
        </w:rPr>
        <w:t xml:space="preserve"> </w:t>
      </w:r>
      <w:r>
        <w:rPr>
          <w:spacing w:val="12"/>
        </w:rPr>
        <w:t>日常公用经费。其中人员经费2,167.17万元，</w:t>
      </w:r>
      <w:r>
        <w:t xml:space="preserve"> </w:t>
      </w:r>
      <w:r>
        <w:rPr>
          <w:spacing w:val="5"/>
        </w:rPr>
        <w:t>公用经费</w:t>
      </w:r>
      <w:r>
        <w:rPr>
          <w:rFonts w:hint="eastAsia"/>
          <w:spacing w:val="5"/>
          <w:lang w:val="en-US" w:eastAsia="zh-CN"/>
        </w:rPr>
        <w:t>5227.5</w:t>
      </w:r>
      <w:r>
        <w:rPr>
          <w:spacing w:val="5"/>
        </w:rPr>
        <w:t>万元。</w:t>
      </w:r>
    </w:p>
    <w:p w14:paraId="6F3D0184">
      <w:pPr>
        <w:pStyle w:val="2"/>
        <w:spacing w:before="61" w:line="232" w:lineRule="auto"/>
        <w:ind w:left="50" w:right="108" w:firstLine="670"/>
        <w:rPr>
          <w:rFonts w:hint="eastAsia" w:ascii="FangSong" w:hAnsi="FangSong" w:eastAsia="FangSong" w:cs="FangSong"/>
          <w:snapToGrid w:val="0"/>
          <w:color w:val="000000"/>
          <w:spacing w:val="19"/>
          <w:kern w:val="0"/>
          <w:sz w:val="30"/>
          <w:szCs w:val="30"/>
          <w:lang w:val="en-US" w:eastAsia="en-US" w:bidi="ar-SA"/>
        </w:rPr>
      </w:pPr>
      <w:r>
        <w:rPr>
          <w:rFonts w:ascii="KaiTi" w:hAnsi="KaiTi" w:eastAsia="KaiTi" w:cs="KaiTi"/>
          <w:spacing w:val="9"/>
        </w:rPr>
        <w:t>（二）项 目支出：</w:t>
      </w:r>
      <w:r>
        <w:rPr>
          <w:spacing w:val="9"/>
        </w:rPr>
        <w:t>2025年本部门项目支出预算</w:t>
      </w:r>
      <w:r>
        <w:rPr>
          <w:rFonts w:hint="eastAsia"/>
          <w:spacing w:val="9"/>
          <w:lang w:val="en-US" w:eastAsia="zh-CN"/>
        </w:rPr>
        <w:t>1800</w:t>
      </w:r>
      <w:r>
        <w:rPr>
          <w:spacing w:val="9"/>
        </w:rPr>
        <w:t>万元，是指单位</w:t>
      </w:r>
      <w:r>
        <w:rPr>
          <w:spacing w:val="16"/>
        </w:rPr>
        <w:t>为完成特定行政工作任务或事业发展目标而发生的支出，包括有关事</w:t>
      </w:r>
      <w:r>
        <w:rPr>
          <w:spacing w:val="17"/>
        </w:rPr>
        <w:t>业发展专项、专项业务费、基本建设支出、对街镇专项补助等</w:t>
      </w:r>
      <w:r>
        <w:rPr>
          <w:spacing w:val="6"/>
        </w:rPr>
        <w:t>。</w:t>
      </w:r>
      <w:r>
        <w:rPr>
          <w:rFonts w:hint="eastAsia" w:ascii="FangSong" w:hAnsi="FangSong" w:eastAsia="FangSong" w:cs="FangSong"/>
          <w:snapToGrid w:val="0"/>
          <w:color w:val="000000"/>
          <w:spacing w:val="19"/>
          <w:kern w:val="0"/>
          <w:sz w:val="30"/>
          <w:szCs w:val="30"/>
          <w:lang w:val="en-US" w:eastAsia="en-US" w:bidi="ar-SA"/>
        </w:rPr>
        <w:t>其中：一般公共服务</w:t>
      </w:r>
      <w:r>
        <w:rPr>
          <w:rFonts w:hint="eastAsia" w:ascii="FangSong" w:hAnsi="FangSong" w:eastAsia="FangSong" w:cs="FangSong"/>
          <w:snapToGrid w:val="0"/>
          <w:color w:val="000000"/>
          <w:spacing w:val="19"/>
          <w:kern w:val="0"/>
          <w:sz w:val="30"/>
          <w:szCs w:val="30"/>
          <w:lang w:val="en-US" w:eastAsia="zh-CN" w:bidi="ar-SA"/>
        </w:rPr>
        <w:t>300</w:t>
      </w:r>
      <w:r>
        <w:rPr>
          <w:rFonts w:hint="eastAsia" w:ascii="FangSong" w:hAnsi="FangSong" w:eastAsia="FangSong" w:cs="FangSong"/>
          <w:snapToGrid w:val="0"/>
          <w:color w:val="000000"/>
          <w:spacing w:val="19"/>
          <w:kern w:val="0"/>
          <w:sz w:val="30"/>
          <w:szCs w:val="30"/>
          <w:lang w:val="en-US" w:eastAsia="en-US" w:bidi="ar-SA"/>
        </w:rPr>
        <w:t>万元，主要用于机关服务、信访事务、专项统计事务、专项普查活动、其他税收事务、信息化建设；公共安全</w:t>
      </w:r>
      <w:r>
        <w:rPr>
          <w:rFonts w:hint="eastAsia" w:ascii="FangSong" w:hAnsi="FangSong" w:eastAsia="FangSong" w:cs="FangSong"/>
          <w:snapToGrid w:val="0"/>
          <w:color w:val="000000"/>
          <w:spacing w:val="19"/>
          <w:kern w:val="0"/>
          <w:sz w:val="30"/>
          <w:szCs w:val="30"/>
          <w:lang w:val="en-US" w:eastAsia="zh-CN" w:bidi="ar-SA"/>
        </w:rPr>
        <w:t>100</w:t>
      </w:r>
      <w:r>
        <w:rPr>
          <w:rFonts w:hint="eastAsia" w:ascii="FangSong" w:hAnsi="FangSong" w:eastAsia="FangSong" w:cs="FangSong"/>
          <w:snapToGrid w:val="0"/>
          <w:color w:val="000000"/>
          <w:spacing w:val="19"/>
          <w:kern w:val="0"/>
          <w:sz w:val="30"/>
          <w:szCs w:val="30"/>
          <w:lang w:val="en-US" w:eastAsia="en-US" w:bidi="ar-SA"/>
        </w:rPr>
        <w:t>万元，主要用于治安管理、防范和处理邪教犯罪、禁毒管理、社区矫正、司法鉴定；教育支出</w:t>
      </w:r>
      <w:r>
        <w:rPr>
          <w:rFonts w:hint="eastAsia" w:ascii="FangSong" w:hAnsi="FangSong" w:eastAsia="FangSong" w:cs="FangSong"/>
          <w:snapToGrid w:val="0"/>
          <w:color w:val="000000"/>
          <w:spacing w:val="19"/>
          <w:kern w:val="0"/>
          <w:sz w:val="30"/>
          <w:szCs w:val="30"/>
          <w:lang w:val="en-US" w:eastAsia="zh-CN" w:bidi="ar-SA"/>
        </w:rPr>
        <w:t>25</w:t>
      </w:r>
      <w:r>
        <w:rPr>
          <w:rFonts w:hint="eastAsia" w:ascii="FangSong" w:hAnsi="FangSong" w:eastAsia="FangSong" w:cs="FangSong"/>
          <w:snapToGrid w:val="0"/>
          <w:color w:val="000000"/>
          <w:spacing w:val="19"/>
          <w:kern w:val="0"/>
          <w:sz w:val="30"/>
          <w:szCs w:val="30"/>
          <w:lang w:val="en-US" w:eastAsia="en-US" w:bidi="ar-SA"/>
        </w:rPr>
        <w:t>万元、主要用于街道辖区各学校、幼儿园投入；文化旅游体育与传媒支出</w:t>
      </w:r>
      <w:r>
        <w:rPr>
          <w:rFonts w:hint="eastAsia" w:ascii="FangSong" w:hAnsi="FangSong" w:eastAsia="FangSong" w:cs="FangSong"/>
          <w:snapToGrid w:val="0"/>
          <w:color w:val="000000"/>
          <w:spacing w:val="19"/>
          <w:kern w:val="0"/>
          <w:sz w:val="30"/>
          <w:szCs w:val="30"/>
          <w:lang w:val="en-US" w:eastAsia="zh-CN" w:bidi="ar-SA"/>
        </w:rPr>
        <w:t>100</w:t>
      </w:r>
      <w:r>
        <w:rPr>
          <w:rFonts w:hint="eastAsia" w:ascii="FangSong" w:hAnsi="FangSong" w:eastAsia="FangSong" w:cs="FangSong"/>
          <w:snapToGrid w:val="0"/>
          <w:color w:val="000000"/>
          <w:spacing w:val="19"/>
          <w:kern w:val="0"/>
          <w:sz w:val="30"/>
          <w:szCs w:val="30"/>
          <w:lang w:val="en-US" w:eastAsia="en-US" w:bidi="ar-SA"/>
        </w:rPr>
        <w:t>万元，主要用于街道及村社区各类文化艺术活动及体育活动的开展；社会保障和就业支出300万元，主要用于拥军优属、基层政权和社区建设、其他退役士官安置支出、其他社会福利支出、残疾人生活护理补贴、临时救助支出；社会保险基金支出200万，主要用于基本养老保险基金支出；卫生健康支出</w:t>
      </w:r>
      <w:r>
        <w:rPr>
          <w:rFonts w:hint="eastAsia" w:ascii="FangSong" w:hAnsi="FangSong" w:eastAsia="FangSong" w:cs="FangSong"/>
          <w:snapToGrid w:val="0"/>
          <w:color w:val="000000"/>
          <w:spacing w:val="19"/>
          <w:kern w:val="0"/>
          <w:sz w:val="30"/>
          <w:szCs w:val="30"/>
          <w:lang w:val="en-US" w:eastAsia="zh-CN" w:bidi="ar-SA"/>
        </w:rPr>
        <w:t>120</w:t>
      </w:r>
      <w:r>
        <w:rPr>
          <w:rFonts w:hint="eastAsia" w:ascii="FangSong" w:hAnsi="FangSong" w:eastAsia="FangSong" w:cs="FangSong"/>
          <w:snapToGrid w:val="0"/>
          <w:color w:val="000000"/>
          <w:spacing w:val="19"/>
          <w:kern w:val="0"/>
          <w:sz w:val="30"/>
          <w:szCs w:val="30"/>
          <w:lang w:val="en-US" w:eastAsia="en-US" w:bidi="ar-SA"/>
        </w:rPr>
        <w:t>万元，主要用于医疗卫生与计划生育管理事务、其他基层医疗卫生机构支出；节能环保支出</w:t>
      </w:r>
      <w:r>
        <w:rPr>
          <w:rFonts w:hint="eastAsia" w:ascii="FangSong" w:hAnsi="FangSong" w:eastAsia="FangSong" w:cs="FangSong"/>
          <w:snapToGrid w:val="0"/>
          <w:color w:val="000000"/>
          <w:spacing w:val="19"/>
          <w:kern w:val="0"/>
          <w:sz w:val="30"/>
          <w:szCs w:val="30"/>
          <w:lang w:val="en-US" w:eastAsia="zh-CN" w:bidi="ar-SA"/>
        </w:rPr>
        <w:t>80</w:t>
      </w:r>
      <w:r>
        <w:rPr>
          <w:rFonts w:hint="eastAsia" w:ascii="FangSong" w:hAnsi="FangSong" w:eastAsia="FangSong" w:cs="FangSong"/>
          <w:snapToGrid w:val="0"/>
          <w:color w:val="000000"/>
          <w:spacing w:val="19"/>
          <w:kern w:val="0"/>
          <w:sz w:val="30"/>
          <w:szCs w:val="30"/>
          <w:lang w:val="en-US" w:eastAsia="en-US" w:bidi="ar-SA"/>
        </w:rPr>
        <w:t>万元，主要用于农村环境保护、其他节能环保支出；城乡社区支出</w:t>
      </w:r>
      <w:r>
        <w:rPr>
          <w:rFonts w:hint="eastAsia" w:ascii="FangSong" w:hAnsi="FangSong" w:eastAsia="FangSong" w:cs="FangSong"/>
          <w:snapToGrid w:val="0"/>
          <w:color w:val="000000"/>
          <w:spacing w:val="19"/>
          <w:kern w:val="0"/>
          <w:sz w:val="30"/>
          <w:szCs w:val="30"/>
          <w:lang w:val="en-US" w:eastAsia="zh-CN" w:bidi="ar-SA"/>
        </w:rPr>
        <w:t>30</w:t>
      </w:r>
      <w:r>
        <w:rPr>
          <w:rFonts w:hint="eastAsia" w:ascii="FangSong" w:hAnsi="FangSong" w:eastAsia="FangSong" w:cs="FangSong"/>
          <w:snapToGrid w:val="0"/>
          <w:color w:val="000000"/>
          <w:spacing w:val="19"/>
          <w:kern w:val="0"/>
          <w:sz w:val="30"/>
          <w:szCs w:val="30"/>
          <w:lang w:val="en-US" w:eastAsia="en-US" w:bidi="ar-SA"/>
        </w:rPr>
        <w:t>万元，主要用于城管执法、小城镇基础设施建设、其他城乡社区公共设施支出、城乡社区环境卫生；农林水支出</w:t>
      </w:r>
      <w:r>
        <w:rPr>
          <w:rFonts w:hint="eastAsia" w:ascii="FangSong" w:hAnsi="FangSong" w:eastAsia="FangSong" w:cs="FangSong"/>
          <w:snapToGrid w:val="0"/>
          <w:color w:val="000000"/>
          <w:spacing w:val="19"/>
          <w:kern w:val="0"/>
          <w:sz w:val="30"/>
          <w:szCs w:val="30"/>
          <w:lang w:val="en-US" w:eastAsia="zh-CN" w:bidi="ar-SA"/>
        </w:rPr>
        <w:t>165</w:t>
      </w:r>
      <w:r>
        <w:rPr>
          <w:rFonts w:hint="eastAsia" w:ascii="FangSong" w:hAnsi="FangSong" w:eastAsia="FangSong" w:cs="FangSong"/>
          <w:snapToGrid w:val="0"/>
          <w:color w:val="000000"/>
          <w:spacing w:val="19"/>
          <w:kern w:val="0"/>
          <w:sz w:val="30"/>
          <w:szCs w:val="30"/>
          <w:lang w:val="en-US" w:eastAsia="en-US" w:bidi="ar-SA"/>
        </w:rPr>
        <w:t>万元，主要用于堤委会，水利建设，农村道路建设、林业防灾减灾、河道保洁、防汛、抗旱、病虫灾害、对村民委员会和村党支部的补助；交通运输支出</w:t>
      </w:r>
      <w:r>
        <w:rPr>
          <w:rFonts w:hint="eastAsia" w:ascii="FangSong" w:hAnsi="FangSong" w:eastAsia="FangSong" w:cs="FangSong"/>
          <w:snapToGrid w:val="0"/>
          <w:color w:val="000000"/>
          <w:spacing w:val="19"/>
          <w:kern w:val="0"/>
          <w:sz w:val="30"/>
          <w:szCs w:val="30"/>
          <w:lang w:val="en-US" w:eastAsia="zh-CN" w:bidi="ar-SA"/>
        </w:rPr>
        <w:t>10</w:t>
      </w:r>
      <w:r>
        <w:rPr>
          <w:rFonts w:hint="eastAsia" w:ascii="FangSong" w:hAnsi="FangSong" w:eastAsia="FangSong" w:cs="FangSong"/>
          <w:snapToGrid w:val="0"/>
          <w:color w:val="000000"/>
          <w:spacing w:val="19"/>
          <w:kern w:val="0"/>
          <w:sz w:val="30"/>
          <w:szCs w:val="30"/>
          <w:lang w:val="en-US" w:eastAsia="en-US" w:bidi="ar-SA"/>
        </w:rPr>
        <w:t>万，主要用于公路建设；住房保障支出</w:t>
      </w:r>
      <w:r>
        <w:rPr>
          <w:rFonts w:hint="eastAsia" w:ascii="FangSong" w:hAnsi="FangSong" w:eastAsia="FangSong" w:cs="FangSong"/>
          <w:snapToGrid w:val="0"/>
          <w:color w:val="000000"/>
          <w:spacing w:val="19"/>
          <w:kern w:val="0"/>
          <w:sz w:val="30"/>
          <w:szCs w:val="30"/>
          <w:lang w:val="en-US" w:eastAsia="zh-CN" w:bidi="ar-SA"/>
        </w:rPr>
        <w:t>370</w:t>
      </w:r>
      <w:r>
        <w:rPr>
          <w:rFonts w:hint="eastAsia" w:ascii="FangSong" w:hAnsi="FangSong" w:eastAsia="FangSong" w:cs="FangSong"/>
          <w:snapToGrid w:val="0"/>
          <w:color w:val="000000"/>
          <w:spacing w:val="19"/>
          <w:kern w:val="0"/>
          <w:sz w:val="30"/>
          <w:szCs w:val="30"/>
          <w:lang w:val="en-US" w:eastAsia="en-US" w:bidi="ar-SA"/>
        </w:rPr>
        <w:t>万元，主要用于危房及老旧小区改造、干部职工公积金的支出等支出。</w:t>
      </w:r>
    </w:p>
    <w:p w14:paraId="1CD39CFA">
      <w:pPr>
        <w:spacing w:before="132" w:line="228" w:lineRule="auto"/>
        <w:ind w:left="660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pacing w:val="13"/>
          <w:sz w:val="30"/>
          <w:szCs w:val="30"/>
        </w:rPr>
        <w:t>五、政府性基金预算支出</w:t>
      </w:r>
    </w:p>
    <w:p w14:paraId="4EC72096">
      <w:pPr>
        <w:pStyle w:val="2"/>
        <w:spacing w:before="80" w:line="243" w:lineRule="auto"/>
        <w:ind w:left="56" w:right="598" w:firstLine="589"/>
        <w:rPr>
          <w:rFonts w:hint="eastAsia"/>
          <w:spacing w:val="-14"/>
        </w:rPr>
      </w:pPr>
      <w:r>
        <w:rPr>
          <w:rFonts w:hint="eastAsia"/>
          <w:spacing w:val="-14"/>
        </w:rPr>
        <w:t>2025年本部门政府性基金支出预算</w:t>
      </w:r>
      <w:r>
        <w:rPr>
          <w:rFonts w:hint="eastAsia"/>
          <w:spacing w:val="-14"/>
          <w:lang w:val="en-US" w:eastAsia="zh-CN"/>
        </w:rPr>
        <w:t>1400</w:t>
      </w:r>
      <w:r>
        <w:rPr>
          <w:rFonts w:hint="eastAsia"/>
          <w:spacing w:val="-14"/>
        </w:rPr>
        <w:t>万元，其中，基本支出0万</w:t>
      </w:r>
    </w:p>
    <w:p w14:paraId="7AD66463">
      <w:pPr>
        <w:pStyle w:val="2"/>
        <w:spacing w:before="80" w:line="243" w:lineRule="auto"/>
        <w:ind w:left="56" w:right="598" w:firstLine="589"/>
      </w:pPr>
      <w:r>
        <w:rPr>
          <w:rFonts w:hint="eastAsia"/>
          <w:spacing w:val="-14"/>
        </w:rPr>
        <w:t>元，占0%；项目支出</w:t>
      </w:r>
      <w:r>
        <w:rPr>
          <w:rFonts w:hint="eastAsia"/>
          <w:spacing w:val="-14"/>
          <w:lang w:val="en-US" w:eastAsia="zh-CN"/>
        </w:rPr>
        <w:t>1400</w:t>
      </w:r>
      <w:r>
        <w:rPr>
          <w:rFonts w:hint="eastAsia"/>
          <w:spacing w:val="-14"/>
        </w:rPr>
        <w:t>万元，占100%。</w:t>
      </w:r>
    </w:p>
    <w:p w14:paraId="23C06BA0">
      <w:pPr>
        <w:spacing w:line="227" w:lineRule="auto"/>
        <w:ind w:left="666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pacing w:val="13"/>
          <w:sz w:val="30"/>
          <w:szCs w:val="30"/>
        </w:rPr>
        <w:t>六、其他重要事项的情况说明</w:t>
      </w:r>
    </w:p>
    <w:p w14:paraId="777A94A3">
      <w:pPr>
        <w:spacing w:before="57" w:line="232" w:lineRule="auto"/>
        <w:ind w:left="711"/>
        <w:rPr>
          <w:rFonts w:ascii="KaiTi" w:hAnsi="KaiTi" w:eastAsia="KaiTi" w:cs="KaiTi"/>
          <w:sz w:val="30"/>
          <w:szCs w:val="30"/>
        </w:rPr>
      </w:pPr>
      <w:r>
        <w:rPr>
          <w:rFonts w:ascii="KaiTi" w:hAnsi="KaiTi" w:eastAsia="KaiTi" w:cs="KaiTi"/>
          <w:spacing w:val="4"/>
          <w:sz w:val="30"/>
          <w:szCs w:val="30"/>
        </w:rPr>
        <w:t>（一）机关运行经费</w:t>
      </w:r>
    </w:p>
    <w:p w14:paraId="71E22B71">
      <w:pPr>
        <w:pStyle w:val="2"/>
        <w:spacing w:before="57" w:line="238" w:lineRule="auto"/>
        <w:ind w:right="625" w:firstLine="639"/>
      </w:pPr>
      <w:r>
        <w:rPr>
          <w:spacing w:val="9"/>
        </w:rPr>
        <w:t>2025年本部门机关运行经费</w:t>
      </w:r>
      <w:r>
        <w:rPr>
          <w:rFonts w:hint="eastAsia"/>
          <w:spacing w:val="9"/>
          <w:lang w:val="en-US" w:eastAsia="zh-CN"/>
        </w:rPr>
        <w:t>2500</w:t>
      </w:r>
      <w:r>
        <w:rPr>
          <w:spacing w:val="9"/>
        </w:rPr>
        <w:t>万元， 比上年预算减少</w:t>
      </w:r>
      <w:r>
        <w:rPr>
          <w:rFonts w:hint="eastAsia"/>
          <w:spacing w:val="9"/>
          <w:lang w:val="en-US" w:eastAsia="zh-CN"/>
        </w:rPr>
        <w:t>50</w:t>
      </w:r>
      <w:r>
        <w:rPr>
          <w:spacing w:val="10"/>
        </w:rPr>
        <w:t>万元， 比上年预算下降，主要原因是征拆项目减少，机关运行</w:t>
      </w:r>
      <w:r>
        <w:rPr>
          <w:spacing w:val="5"/>
        </w:rPr>
        <w:t>经费相应压减。</w:t>
      </w:r>
    </w:p>
    <w:p w14:paraId="50D826E9">
      <w:pPr>
        <w:spacing w:before="59" w:line="232" w:lineRule="auto"/>
        <w:ind w:left="711"/>
        <w:rPr>
          <w:rFonts w:ascii="KaiTi" w:hAnsi="KaiTi" w:eastAsia="KaiTi" w:cs="KaiTi"/>
          <w:sz w:val="30"/>
          <w:szCs w:val="30"/>
        </w:rPr>
      </w:pPr>
      <w:r>
        <w:rPr>
          <w:rFonts w:ascii="KaiTi" w:hAnsi="KaiTi" w:eastAsia="KaiTi" w:cs="KaiTi"/>
          <w:spacing w:val="-3"/>
          <w:sz w:val="30"/>
          <w:szCs w:val="30"/>
        </w:rPr>
        <w:t>（二）“三公 ”经费预算</w:t>
      </w:r>
    </w:p>
    <w:p w14:paraId="032634FB">
      <w:pPr>
        <w:pStyle w:val="2"/>
        <w:spacing w:before="60" w:line="228" w:lineRule="auto"/>
        <w:ind w:left="643"/>
      </w:pPr>
      <w:r>
        <w:rPr>
          <w:spacing w:val="10"/>
        </w:rPr>
        <w:t>2025年本部门“三公 ”经费预算数为20万元，其中，公务接待费0</w:t>
      </w:r>
    </w:p>
    <w:p w14:paraId="6F64A34B">
      <w:pPr>
        <w:pStyle w:val="2"/>
        <w:spacing w:before="21" w:line="226" w:lineRule="auto"/>
        <w:ind w:left="5"/>
      </w:pPr>
      <w:r>
        <w:rPr>
          <w:spacing w:val="15"/>
        </w:rPr>
        <w:t>万元，公务用车购置及运行费20万元（其中，公务用车购置费0万元，</w:t>
      </w:r>
    </w:p>
    <w:p w14:paraId="6E803821">
      <w:pPr>
        <w:pStyle w:val="2"/>
        <w:spacing w:before="58" w:line="235" w:lineRule="auto"/>
        <w:ind w:firstLine="13"/>
      </w:pPr>
      <w:r>
        <w:rPr>
          <w:spacing w:val="16"/>
        </w:rPr>
        <w:t>公务用车运行费20万元</w:t>
      </w:r>
      <w:r>
        <w:rPr>
          <w:spacing w:val="-20"/>
        </w:rPr>
        <w:t>）</w:t>
      </w:r>
      <w:r>
        <w:rPr>
          <w:spacing w:val="-31"/>
        </w:rPr>
        <w:t xml:space="preserve"> </w:t>
      </w:r>
      <w:r>
        <w:rPr>
          <w:spacing w:val="-20"/>
        </w:rPr>
        <w:t>，</w:t>
      </w:r>
      <w:r>
        <w:rPr>
          <w:spacing w:val="-36"/>
        </w:rPr>
        <w:t xml:space="preserve"> </w:t>
      </w:r>
      <w:r>
        <w:rPr>
          <w:spacing w:val="16"/>
        </w:rPr>
        <w:t>因公出国（境）</w:t>
      </w:r>
      <w:r>
        <w:rPr>
          <w:spacing w:val="-89"/>
        </w:rPr>
        <w:t xml:space="preserve"> </w:t>
      </w:r>
      <w:r>
        <w:rPr>
          <w:spacing w:val="16"/>
        </w:rPr>
        <w:t>费0万元。2025年</w:t>
      </w:r>
      <w:r>
        <w:rPr>
          <w:spacing w:val="15"/>
        </w:rPr>
        <w:t>“</w:t>
      </w:r>
      <w:r>
        <w:rPr>
          <w:spacing w:val="-109"/>
        </w:rPr>
        <w:t xml:space="preserve"> </w:t>
      </w:r>
      <w:r>
        <w:rPr>
          <w:spacing w:val="15"/>
        </w:rPr>
        <w:t>三公 ”</w:t>
      </w:r>
      <w:r>
        <w:t xml:space="preserve"> </w:t>
      </w:r>
      <w:r>
        <w:rPr>
          <w:spacing w:val="11"/>
        </w:rPr>
        <w:t>经费预算较2024年持平，主要原因是本年与上年“三公 ”经费安排未</w:t>
      </w:r>
    </w:p>
    <w:p w14:paraId="143E664D">
      <w:pPr>
        <w:pStyle w:val="2"/>
        <w:spacing w:before="39" w:line="229" w:lineRule="auto"/>
        <w:ind w:left="19"/>
      </w:pPr>
      <w:r>
        <w:rPr>
          <w:spacing w:val="-1"/>
        </w:rPr>
        <w:t>发生变化。</w:t>
      </w:r>
    </w:p>
    <w:p w14:paraId="46830032">
      <w:pPr>
        <w:spacing w:before="61" w:line="233" w:lineRule="auto"/>
        <w:ind w:left="711"/>
        <w:rPr>
          <w:rFonts w:ascii="KaiTi" w:hAnsi="KaiTi" w:eastAsia="KaiTi" w:cs="KaiTi"/>
          <w:sz w:val="30"/>
          <w:szCs w:val="30"/>
        </w:rPr>
      </w:pPr>
      <w:r>
        <w:rPr>
          <w:rFonts w:ascii="KaiTi" w:hAnsi="KaiTi" w:eastAsia="KaiTi" w:cs="KaiTi"/>
          <w:spacing w:val="8"/>
          <w:sz w:val="30"/>
          <w:szCs w:val="30"/>
        </w:rPr>
        <w:t>（三）一般性支出情况</w:t>
      </w:r>
    </w:p>
    <w:p w14:paraId="62DC6482">
      <w:pPr>
        <w:pStyle w:val="2"/>
        <w:spacing w:before="60" w:line="243" w:lineRule="auto"/>
        <w:ind w:left="13" w:right="609" w:firstLine="632"/>
      </w:pPr>
      <w:r>
        <w:rPr>
          <w:spacing w:val="15"/>
        </w:rPr>
        <w:t>2025年本部门会议费预算5万元，拟召开七一表彰大会，人数</w:t>
      </w:r>
      <w:r>
        <w:rPr>
          <w:spacing w:val="14"/>
        </w:rPr>
        <w:t>300</w:t>
      </w:r>
      <w:r>
        <w:t xml:space="preserve"> </w:t>
      </w:r>
      <w:r>
        <w:rPr>
          <w:spacing w:val="16"/>
        </w:rPr>
        <w:t>人，会议内容为七一总结表彰大会；培训费预算20万元，拟开展街村</w:t>
      </w:r>
      <w:r>
        <w:rPr>
          <w:spacing w:val="10"/>
        </w:rPr>
        <w:t xml:space="preserve"> </w:t>
      </w:r>
      <w:r>
        <w:rPr>
          <w:spacing w:val="15"/>
        </w:rPr>
        <w:t>两级廉政教育培训、入党积极分子培训、党员春训，人数1000人，培</w:t>
      </w:r>
      <w:r>
        <w:rPr>
          <w:spacing w:val="12"/>
        </w:rPr>
        <w:t xml:space="preserve"> </w:t>
      </w:r>
      <w:r>
        <w:rPr>
          <w:spacing w:val="17"/>
        </w:rPr>
        <w:t>训内容为街村两级党员廉政教育培训、入党积极分子培训、</w:t>
      </w:r>
      <w:r>
        <w:rPr>
          <w:spacing w:val="16"/>
        </w:rPr>
        <w:t>党员春训</w:t>
      </w:r>
      <w:r>
        <w:t xml:space="preserve"> </w:t>
      </w:r>
      <w:r>
        <w:rPr>
          <w:spacing w:val="19"/>
        </w:rPr>
        <w:t>;无举办节庆、晚会、论坛、赛事等活动的预算经费。</w:t>
      </w:r>
    </w:p>
    <w:p w14:paraId="364ACB61">
      <w:pPr>
        <w:spacing w:before="66" w:line="233" w:lineRule="auto"/>
        <w:ind w:left="711"/>
        <w:rPr>
          <w:rFonts w:ascii="KaiTi" w:hAnsi="KaiTi" w:eastAsia="KaiTi" w:cs="KaiTi"/>
          <w:sz w:val="30"/>
          <w:szCs w:val="30"/>
        </w:rPr>
      </w:pPr>
      <w:r>
        <w:rPr>
          <w:rFonts w:ascii="KaiTi" w:hAnsi="KaiTi" w:eastAsia="KaiTi" w:cs="KaiTi"/>
          <w:spacing w:val="5"/>
          <w:sz w:val="30"/>
          <w:szCs w:val="30"/>
        </w:rPr>
        <w:t>（四）政府采购情况</w:t>
      </w:r>
    </w:p>
    <w:p w14:paraId="7C987AEF">
      <w:pPr>
        <w:pStyle w:val="2"/>
        <w:spacing w:before="42" w:line="234" w:lineRule="auto"/>
        <w:ind w:right="481" w:firstLine="639"/>
      </w:pPr>
      <w:r>
        <w:rPr>
          <w:spacing w:val="14"/>
        </w:rPr>
        <w:t>2025年本部门政府采购预算总额1,236万元，其中，货物类采购预</w:t>
      </w:r>
      <w:r>
        <w:t xml:space="preserve"> </w:t>
      </w:r>
      <w:r>
        <w:rPr>
          <w:spacing w:val="13"/>
        </w:rPr>
        <w:t>算1,143万元；工程类采购预算0万元；服务类采购预算93万元。</w:t>
      </w:r>
    </w:p>
    <w:p w14:paraId="5ED8DE28">
      <w:pPr>
        <w:spacing w:before="55" w:line="229" w:lineRule="auto"/>
        <w:ind w:left="711"/>
        <w:rPr>
          <w:rFonts w:ascii="KaiTi" w:hAnsi="KaiTi" w:eastAsia="KaiTi" w:cs="KaiTi"/>
          <w:sz w:val="30"/>
          <w:szCs w:val="30"/>
        </w:rPr>
      </w:pPr>
      <w:r>
        <w:rPr>
          <w:rFonts w:ascii="KaiTi" w:hAnsi="KaiTi" w:eastAsia="KaiTi" w:cs="KaiTi"/>
          <w:spacing w:val="9"/>
          <w:sz w:val="30"/>
          <w:szCs w:val="30"/>
        </w:rPr>
        <w:t>（五）</w:t>
      </w:r>
      <w:r>
        <w:rPr>
          <w:rFonts w:ascii="KaiTi" w:hAnsi="KaiTi" w:eastAsia="KaiTi" w:cs="KaiTi"/>
          <w:spacing w:val="-74"/>
          <w:sz w:val="30"/>
          <w:szCs w:val="30"/>
        </w:rPr>
        <w:t xml:space="preserve"> </w:t>
      </w:r>
      <w:r>
        <w:rPr>
          <w:rFonts w:ascii="KaiTi" w:hAnsi="KaiTi" w:eastAsia="KaiTi" w:cs="KaiTi"/>
          <w:spacing w:val="9"/>
          <w:sz w:val="30"/>
          <w:szCs w:val="30"/>
        </w:rPr>
        <w:t>国有资产占用使用及新增资产配置情况</w:t>
      </w:r>
    </w:p>
    <w:p w14:paraId="1A2093FE">
      <w:pPr>
        <w:pStyle w:val="2"/>
        <w:spacing w:before="73" w:line="244" w:lineRule="auto"/>
        <w:ind w:right="612" w:firstLine="660"/>
      </w:pPr>
      <w:r>
        <w:rPr>
          <w:spacing w:val="15"/>
        </w:rPr>
        <w:t>截至2024年12月底，本部门共有公务用车2辆，其中，机要通信</w:t>
      </w:r>
      <w:r>
        <w:t xml:space="preserve">  </w:t>
      </w:r>
      <w:r>
        <w:rPr>
          <w:spacing w:val="16"/>
        </w:rPr>
        <w:t>用车0辆，应急保障用车0辆，执法执勤用车0辆，特种专业技术用车0</w:t>
      </w:r>
      <w:r>
        <w:rPr>
          <w:spacing w:val="8"/>
        </w:rPr>
        <w:t xml:space="preserve"> </w:t>
      </w:r>
      <w:r>
        <w:rPr>
          <w:spacing w:val="16"/>
        </w:rPr>
        <w:t>辆，其他按照规定配备的公务用车2辆；单位价值50万元以上通用设</w:t>
      </w:r>
      <w:r>
        <w:rPr>
          <w:spacing w:val="5"/>
        </w:rPr>
        <w:t xml:space="preserve">  </w:t>
      </w:r>
      <w:r>
        <w:rPr>
          <w:spacing w:val="15"/>
        </w:rPr>
        <w:t>备0台，单位价值100万元以上专用设备0台。2025年拟新增</w:t>
      </w:r>
      <w:r>
        <w:rPr>
          <w:spacing w:val="14"/>
        </w:rPr>
        <w:t>配置公务</w:t>
      </w:r>
      <w:r>
        <w:t xml:space="preserve">  </w:t>
      </w:r>
      <w:r>
        <w:rPr>
          <w:spacing w:val="16"/>
        </w:rPr>
        <w:t>用车0辆，其中，机要通信用车0辆，应急保障用车0辆，执法执勤用</w:t>
      </w:r>
      <w:r>
        <w:rPr>
          <w:spacing w:val="5"/>
        </w:rPr>
        <w:t xml:space="preserve">  </w:t>
      </w:r>
      <w:r>
        <w:rPr>
          <w:spacing w:val="15"/>
        </w:rPr>
        <w:t>车0辆，特种专业技术用车0辆，其他按照规定配备的</w:t>
      </w:r>
      <w:r>
        <w:rPr>
          <w:spacing w:val="14"/>
        </w:rPr>
        <w:t>公务用车0辆；</w:t>
      </w:r>
      <w:r>
        <w:rPr>
          <w:spacing w:val="15"/>
        </w:rPr>
        <w:t>新增配备单位价值50万元以上通用设备0台，单位价值100万元以上专</w:t>
      </w:r>
      <w:r>
        <w:rPr>
          <w:spacing w:val="8"/>
        </w:rPr>
        <w:t xml:space="preserve"> </w:t>
      </w:r>
      <w:r>
        <w:rPr>
          <w:spacing w:val="2"/>
        </w:rPr>
        <w:t>用设备0台。</w:t>
      </w:r>
    </w:p>
    <w:p w14:paraId="43C73D9B">
      <w:pPr>
        <w:spacing w:before="67" w:line="233" w:lineRule="auto"/>
        <w:ind w:left="711"/>
        <w:rPr>
          <w:rFonts w:ascii="KaiTi" w:hAnsi="KaiTi" w:eastAsia="KaiTi" w:cs="KaiTi"/>
          <w:sz w:val="30"/>
          <w:szCs w:val="30"/>
        </w:rPr>
      </w:pPr>
      <w:r>
        <w:rPr>
          <w:rFonts w:ascii="KaiTi" w:hAnsi="KaiTi" w:eastAsia="KaiTi" w:cs="KaiTi"/>
          <w:spacing w:val="6"/>
          <w:sz w:val="30"/>
          <w:szCs w:val="30"/>
        </w:rPr>
        <w:t>（六）预算绩效目标说明</w:t>
      </w:r>
    </w:p>
    <w:p w14:paraId="2487A187">
      <w:pPr>
        <w:pStyle w:val="2"/>
        <w:spacing w:before="47" w:line="238" w:lineRule="auto"/>
        <w:ind w:firstLine="663"/>
        <w:jc w:val="both"/>
      </w:pPr>
      <w:r>
        <w:rPr>
          <w:spacing w:val="16"/>
        </w:rPr>
        <w:t>本部门所有支出实行绩效目标管理。纳入2025年部门整体支出绩</w:t>
      </w:r>
      <w:r>
        <w:rPr>
          <w:spacing w:val="8"/>
        </w:rPr>
        <w:t xml:space="preserve"> </w:t>
      </w:r>
      <w:r>
        <w:rPr>
          <w:spacing w:val="12"/>
        </w:rPr>
        <w:t>效目标的金额为</w:t>
      </w:r>
      <w:r>
        <w:rPr>
          <w:rFonts w:hint="eastAsia"/>
          <w:spacing w:val="12"/>
          <w:lang w:val="en-US" w:eastAsia="zh-CN"/>
        </w:rPr>
        <w:t>9194.67</w:t>
      </w:r>
      <w:r>
        <w:rPr>
          <w:spacing w:val="12"/>
        </w:rPr>
        <w:t>万元，其中，基本支出</w:t>
      </w:r>
      <w:r>
        <w:rPr>
          <w:rFonts w:hint="eastAsia"/>
          <w:spacing w:val="12"/>
          <w:lang w:val="en-US" w:eastAsia="zh-CN"/>
        </w:rPr>
        <w:t>7394.67</w:t>
      </w:r>
      <w:r>
        <w:rPr>
          <w:spacing w:val="12"/>
        </w:rPr>
        <w:t>万元；项</w:t>
      </w:r>
      <w:r>
        <w:rPr>
          <w:spacing w:val="-52"/>
        </w:rPr>
        <w:t xml:space="preserve"> </w:t>
      </w:r>
      <w:r>
        <w:rPr>
          <w:spacing w:val="12"/>
        </w:rPr>
        <w:t>目</w:t>
      </w:r>
      <w:r>
        <w:t xml:space="preserve"> </w:t>
      </w:r>
      <w:r>
        <w:rPr>
          <w:spacing w:val="11"/>
        </w:rPr>
        <w:t>支出</w:t>
      </w:r>
      <w:r>
        <w:rPr>
          <w:rFonts w:hint="eastAsia"/>
          <w:spacing w:val="11"/>
          <w:lang w:val="en-US" w:eastAsia="zh-CN"/>
        </w:rPr>
        <w:t>1800</w:t>
      </w:r>
      <w:r>
        <w:rPr>
          <w:spacing w:val="11"/>
        </w:rPr>
        <w:t>万元，具体绩效目标详见报表。</w:t>
      </w:r>
    </w:p>
    <w:p w14:paraId="2FC79AF1">
      <w:pPr>
        <w:spacing w:before="54" w:line="229" w:lineRule="auto"/>
        <w:ind w:left="634"/>
        <w:outlineLvl w:val="1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pacing w:val="13"/>
          <w:sz w:val="30"/>
          <w:szCs w:val="30"/>
        </w:rPr>
        <w:t>七、名词解释</w:t>
      </w:r>
    </w:p>
    <w:p w14:paraId="3F8C15D8">
      <w:pPr>
        <w:pStyle w:val="2"/>
        <w:spacing w:before="78" w:line="242" w:lineRule="auto"/>
        <w:ind w:right="33" w:firstLine="689"/>
      </w:pPr>
      <w:r>
        <w:rPr>
          <w:rFonts w:ascii="KaiTi" w:hAnsi="KaiTi" w:eastAsia="KaiTi" w:cs="KaiTi"/>
          <w:spacing w:val="15"/>
        </w:rPr>
        <w:t>（一）机关运行经费：</w:t>
      </w:r>
      <w:r>
        <w:rPr>
          <w:spacing w:val="15"/>
        </w:rPr>
        <w:t>是指为保障行政单位（包括参照公务员法</w:t>
      </w:r>
      <w:r>
        <w:rPr>
          <w:spacing w:val="9"/>
        </w:rPr>
        <w:t xml:space="preserve"> </w:t>
      </w:r>
      <w:r>
        <w:rPr>
          <w:spacing w:val="17"/>
        </w:rPr>
        <w:t>管理的事业单位）运行用于购买货物和服务的各项资金，包括办公及</w:t>
      </w:r>
      <w:r>
        <w:t xml:space="preserve"> </w:t>
      </w:r>
      <w:r>
        <w:rPr>
          <w:spacing w:val="11"/>
        </w:rPr>
        <w:t>印刷费、邮电费、差旅费、会议费、福利费、</w:t>
      </w:r>
      <w:r>
        <w:rPr>
          <w:spacing w:val="46"/>
        </w:rPr>
        <w:t xml:space="preserve"> </w:t>
      </w:r>
      <w:r>
        <w:rPr>
          <w:spacing w:val="11"/>
        </w:rPr>
        <w:t>日常维修费</w:t>
      </w:r>
      <w:r>
        <w:rPr>
          <w:spacing w:val="10"/>
        </w:rPr>
        <w:t>、专用资料</w:t>
      </w:r>
      <w:r>
        <w:t xml:space="preserve"> </w:t>
      </w:r>
      <w:r>
        <w:rPr>
          <w:spacing w:val="17"/>
        </w:rPr>
        <w:t>及一般设备购置费、办公用房水电费、办公用房取暖费、办公用房物</w:t>
      </w:r>
      <w:r>
        <w:t xml:space="preserve"> </w:t>
      </w:r>
      <w:r>
        <w:rPr>
          <w:spacing w:val="13"/>
        </w:rPr>
        <w:t>业管理费、公务用车运行维护费以及其他费用。</w:t>
      </w:r>
    </w:p>
    <w:p w14:paraId="4EF9B946">
      <w:pPr>
        <w:pStyle w:val="2"/>
        <w:spacing w:before="103" w:line="245" w:lineRule="auto"/>
        <w:ind w:right="19" w:firstLine="692"/>
      </w:pPr>
      <w:r>
        <w:rPr>
          <w:rFonts w:ascii="KaiTi" w:hAnsi="KaiTi" w:eastAsia="KaiTi" w:cs="KaiTi"/>
          <w:spacing w:val="9"/>
        </w:rPr>
        <w:t>（二）</w:t>
      </w:r>
      <w:r>
        <w:rPr>
          <w:rFonts w:ascii="KaiTi" w:hAnsi="KaiTi" w:eastAsia="KaiTi" w:cs="KaiTi"/>
          <w:spacing w:val="-117"/>
        </w:rPr>
        <w:t xml:space="preserve"> </w:t>
      </w:r>
      <w:r>
        <w:rPr>
          <w:rFonts w:ascii="KaiTi" w:hAnsi="KaiTi" w:eastAsia="KaiTi" w:cs="KaiTi"/>
          <w:spacing w:val="9"/>
        </w:rPr>
        <w:t>“三公 ”经费：</w:t>
      </w:r>
      <w:r>
        <w:rPr>
          <w:spacing w:val="9"/>
        </w:rPr>
        <w:t>是指一般公共预算拨款安排的公务接待费</w:t>
      </w:r>
      <w:r>
        <w:t xml:space="preserve"> </w:t>
      </w:r>
      <w:r>
        <w:rPr>
          <w:spacing w:val="16"/>
        </w:rPr>
        <w:t>、公务用车购置及运行维护费和因公出国（境）费。其中，公务接待</w:t>
      </w:r>
      <w:r>
        <w:rPr>
          <w:spacing w:val="1"/>
        </w:rPr>
        <w:t xml:space="preserve"> </w:t>
      </w:r>
      <w:r>
        <w:rPr>
          <w:spacing w:val="17"/>
        </w:rPr>
        <w:t>费反映单位按规定开支的各类公务接待支出；公务用车购置及运行费</w:t>
      </w:r>
      <w:r>
        <w:t xml:space="preserve"> </w:t>
      </w:r>
      <w:r>
        <w:rPr>
          <w:spacing w:val="13"/>
        </w:rPr>
        <w:t>反映单位公务用车车辆购置支出（含车辆购置税</w:t>
      </w:r>
      <w:r>
        <w:rPr>
          <w:spacing w:val="-20"/>
        </w:rPr>
        <w:t>）</w:t>
      </w:r>
      <w:r>
        <w:rPr>
          <w:spacing w:val="-76"/>
        </w:rPr>
        <w:t xml:space="preserve"> </w:t>
      </w:r>
      <w:r>
        <w:rPr>
          <w:spacing w:val="-20"/>
        </w:rPr>
        <w:t>，</w:t>
      </w:r>
      <w:r>
        <w:rPr>
          <w:spacing w:val="-15"/>
        </w:rPr>
        <w:t xml:space="preserve"> </w:t>
      </w:r>
      <w:r>
        <w:rPr>
          <w:spacing w:val="13"/>
        </w:rPr>
        <w:t>以及燃料费</w:t>
      </w:r>
      <w:r>
        <w:rPr>
          <w:spacing w:val="12"/>
        </w:rPr>
        <w:t>、维</w:t>
      </w:r>
      <w:r>
        <w:t xml:space="preserve"> </w:t>
      </w:r>
      <w:r>
        <w:rPr>
          <w:spacing w:val="10"/>
        </w:rPr>
        <w:t>修费、保险费等支出； 因公出国（境）费反映单位公务出国（境）</w:t>
      </w:r>
      <w:r>
        <w:rPr>
          <w:spacing w:val="-86"/>
        </w:rPr>
        <w:t xml:space="preserve"> </w:t>
      </w:r>
      <w:r>
        <w:rPr>
          <w:spacing w:val="10"/>
        </w:rPr>
        <w:t>的</w:t>
      </w:r>
      <w:r>
        <w:t xml:space="preserve"> </w:t>
      </w:r>
      <w:r>
        <w:rPr>
          <w:spacing w:val="10"/>
        </w:rPr>
        <w:t>国际旅费、</w:t>
      </w:r>
      <w:r>
        <w:rPr>
          <w:spacing w:val="-84"/>
        </w:rPr>
        <w:t xml:space="preserve"> </w:t>
      </w:r>
      <w:r>
        <w:rPr>
          <w:spacing w:val="10"/>
        </w:rPr>
        <w:t>国外城市间交通费、食宿费等支</w:t>
      </w:r>
      <w:r>
        <w:rPr>
          <w:spacing w:val="9"/>
        </w:rPr>
        <w:t>出。</w:t>
      </w:r>
    </w:p>
    <w:p w14:paraId="5112C059">
      <w:pPr>
        <w:spacing w:line="245" w:lineRule="auto"/>
        <w:sectPr>
          <w:pgSz w:w="11906" w:h="16840"/>
          <w:pgMar w:top="1431" w:right="1211" w:bottom="0" w:left="1137" w:header="0" w:footer="0" w:gutter="0"/>
          <w:cols w:space="720" w:num="1"/>
        </w:sectPr>
      </w:pPr>
    </w:p>
    <w:p w14:paraId="681406D5">
      <w:pPr>
        <w:spacing w:before="119" w:line="227" w:lineRule="auto"/>
        <w:rPr>
          <w:rFonts w:ascii="SimHei" w:hAnsi="SimHei" w:eastAsia="SimHei" w:cs="SimHei"/>
          <w:sz w:val="34"/>
          <w:szCs w:val="34"/>
        </w:rPr>
      </w:pPr>
      <w:r>
        <w:rPr>
          <w:rFonts w:ascii="SimHei" w:hAnsi="SimHei" w:eastAsia="SimHei" w:cs="SimHei"/>
          <w:spacing w:val="3"/>
          <w:sz w:val="34"/>
          <w:szCs w:val="34"/>
        </w:rPr>
        <w:t>第二部分：</w:t>
      </w:r>
    </w:p>
    <w:p w14:paraId="44B49D8D">
      <w:pPr>
        <w:spacing w:line="287" w:lineRule="auto"/>
        <w:rPr>
          <w:rFonts w:ascii="Arial"/>
          <w:sz w:val="21"/>
        </w:rPr>
      </w:pPr>
    </w:p>
    <w:p w14:paraId="069C38AC">
      <w:pPr>
        <w:spacing w:before="111" w:line="224" w:lineRule="auto"/>
        <w:ind w:left="1993"/>
        <w:outlineLvl w:val="0"/>
        <w:rPr>
          <w:rFonts w:ascii="SimSun" w:hAnsi="SimSun" w:eastAsia="SimSun" w:cs="SimSun"/>
          <w:sz w:val="34"/>
          <w:szCs w:val="34"/>
        </w:rPr>
      </w:pPr>
      <w:r>
        <w:rPr>
          <w:rFonts w:ascii="SimSun" w:hAnsi="SimSun" w:eastAsia="SimSun" w:cs="SimSun"/>
          <w:b/>
          <w:bCs/>
          <w:spacing w:val="5"/>
          <w:sz w:val="34"/>
          <w:szCs w:val="34"/>
        </w:rPr>
        <w:t>2025年部门预算表（详见附件表格）</w:t>
      </w:r>
    </w:p>
    <w:p w14:paraId="54C5855E">
      <w:pPr>
        <w:spacing w:line="314" w:lineRule="auto"/>
        <w:rPr>
          <w:rFonts w:ascii="Arial"/>
          <w:sz w:val="21"/>
        </w:rPr>
      </w:pPr>
    </w:p>
    <w:p w14:paraId="05A38F2A">
      <w:pPr>
        <w:pStyle w:val="2"/>
        <w:spacing w:before="98" w:line="229" w:lineRule="auto"/>
        <w:ind w:left="704"/>
      </w:pPr>
      <w:r>
        <w:rPr>
          <w:spacing w:val="-1"/>
        </w:rPr>
        <w:t>1、收支总表</w:t>
      </w:r>
    </w:p>
    <w:p w14:paraId="3A0310D1">
      <w:pPr>
        <w:pStyle w:val="2"/>
        <w:spacing w:before="45" w:line="229" w:lineRule="auto"/>
        <w:ind w:left="646"/>
      </w:pPr>
      <w:r>
        <w:rPr>
          <w:spacing w:val="7"/>
        </w:rPr>
        <w:t>2、收入总表</w:t>
      </w:r>
    </w:p>
    <w:p w14:paraId="48ACA1EE">
      <w:pPr>
        <w:pStyle w:val="2"/>
        <w:spacing w:before="42" w:line="230" w:lineRule="auto"/>
        <w:ind w:left="653"/>
      </w:pPr>
      <w:r>
        <w:rPr>
          <w:spacing w:val="6"/>
        </w:rPr>
        <w:t>3、支出总表</w:t>
      </w:r>
    </w:p>
    <w:p w14:paraId="5C79AD50">
      <w:pPr>
        <w:pStyle w:val="2"/>
        <w:spacing w:before="39" w:line="229" w:lineRule="auto"/>
        <w:ind w:left="631"/>
      </w:pPr>
      <w:r>
        <w:rPr>
          <w:spacing w:val="12"/>
        </w:rPr>
        <w:t>4、财政拨款收支总表</w:t>
      </w:r>
    </w:p>
    <w:p w14:paraId="43B3A7B6">
      <w:pPr>
        <w:pStyle w:val="2"/>
        <w:spacing w:before="38" w:line="228" w:lineRule="auto"/>
        <w:ind w:left="653"/>
      </w:pPr>
      <w:r>
        <w:rPr>
          <w:spacing w:val="12"/>
        </w:rPr>
        <w:t>5、一般公共预算支出表</w:t>
      </w:r>
    </w:p>
    <w:p w14:paraId="7FF8132A">
      <w:pPr>
        <w:pStyle w:val="2"/>
        <w:spacing w:before="47" w:line="228" w:lineRule="auto"/>
        <w:ind w:left="640"/>
      </w:pPr>
      <w:r>
        <w:rPr>
          <w:spacing w:val="14"/>
        </w:rPr>
        <w:t>6、一般公共预算基本支出表</w:t>
      </w:r>
    </w:p>
    <w:p w14:paraId="5E498907">
      <w:pPr>
        <w:pStyle w:val="2"/>
        <w:spacing w:before="45" w:line="228" w:lineRule="auto"/>
        <w:ind w:left="655"/>
      </w:pPr>
      <w:r>
        <w:rPr>
          <w:spacing w:val="7"/>
        </w:rPr>
        <w:t>7、一般公共预算“三公 ”经费支出表</w:t>
      </w:r>
    </w:p>
    <w:p w14:paraId="7F07D589">
      <w:pPr>
        <w:pStyle w:val="2"/>
        <w:spacing w:before="41" w:line="226" w:lineRule="auto"/>
        <w:ind w:left="636"/>
      </w:pPr>
      <w:r>
        <w:rPr>
          <w:spacing w:val="12"/>
        </w:rPr>
        <w:t>8、政府性基金预算支出表</w:t>
      </w:r>
    </w:p>
    <w:p w14:paraId="7C71D751">
      <w:pPr>
        <w:pStyle w:val="2"/>
        <w:spacing w:before="53" w:line="229" w:lineRule="auto"/>
        <w:ind w:left="636"/>
      </w:pPr>
      <w:r>
        <w:rPr>
          <w:spacing w:val="11"/>
        </w:rPr>
        <w:t>9、项目支出绩效目标表</w:t>
      </w:r>
    </w:p>
    <w:p w14:paraId="33CB9301">
      <w:pPr>
        <w:pStyle w:val="2"/>
        <w:spacing w:before="42" w:line="228" w:lineRule="auto"/>
        <w:ind w:left="704"/>
      </w:pPr>
      <w:r>
        <w:rPr>
          <w:spacing w:val="8"/>
        </w:rPr>
        <w:t>10、部门整体支出绩效目标表</w:t>
      </w:r>
    </w:p>
    <w:p w14:paraId="75C30EC5">
      <w:pPr>
        <w:pStyle w:val="2"/>
        <w:spacing w:before="35" w:line="224" w:lineRule="auto"/>
        <w:jc w:val="right"/>
      </w:pPr>
      <w:r>
        <w:fldChar w:fldCharType="begin"/>
      </w:r>
      <w:r>
        <w:instrText xml:space="preserve"> HYPERLINK "http://222.247.255.179:9001/home/downloadAttachment?attachGUID=a74bfb1a56ea4a2cbea52d3467226581" </w:instrText>
      </w:r>
      <w:r>
        <w:fldChar w:fldCharType="separate"/>
      </w:r>
      <w:r>
        <w:rPr>
          <w:color w:val="0000EE"/>
          <w:spacing w:val="17"/>
          <w:u w:val="single" w:color="auto"/>
        </w:rPr>
        <w:t>827001__长沙市望城区月亮岛街道办事</w:t>
      </w:r>
      <w:r>
        <w:rPr>
          <w:color w:val="0000EE"/>
          <w:spacing w:val="16"/>
          <w:u w:val="single" w:color="auto"/>
        </w:rPr>
        <w:t>处望城区预算公开表.</w:t>
      </w:r>
      <w:r>
        <w:rPr>
          <w:color w:val="0000EE"/>
          <w:u w:val="single" w:color="auto"/>
        </w:rPr>
        <w:t>xlsx</w:t>
      </w:r>
      <w:r>
        <w:rPr>
          <w:color w:val="0000EE"/>
          <w:u w:val="single" w:color="auto"/>
        </w:rPr>
        <w:fldChar w:fldCharType="end"/>
      </w:r>
    </w:p>
    <w:sectPr>
      <w:pgSz w:w="11906" w:h="16840"/>
      <w:pgMar w:top="1431" w:right="1707" w:bottom="0" w:left="112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mZlYzZjYzY5NzMzMGQzMmVmMTcyOGQ1MWMyOWY0MDYifQ=="/>
  </w:docVars>
  <w:rsids>
    <w:rsidRoot w:val="00000000"/>
    <w:rsid w:val="3BF5DE56"/>
    <w:rsid w:val="3FBDA4C7"/>
    <w:rsid w:val="67EE2FDB"/>
    <w:rsid w:val="7DFF85BB"/>
    <w:rsid w:val="7E7D13C6"/>
    <w:rsid w:val="7EDF5490"/>
    <w:rsid w:val="7F6FDAF9"/>
    <w:rsid w:val="8CFBD81B"/>
    <w:rsid w:val="973F40DB"/>
    <w:rsid w:val="DFBDF1BB"/>
    <w:rsid w:val="F9AC5BE9"/>
    <w:rsid w:val="FAFAFC71"/>
    <w:rsid w:val="FBB0D247"/>
    <w:rsid w:val="FBDFA7CB"/>
    <w:rsid w:val="FEF3BA71"/>
    <w:rsid w:val="FFFB86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" w:hAnsi="FangSong" w:eastAsia="FangSong" w:cs="FangSong"/>
      <w:sz w:val="30"/>
      <w:szCs w:val="3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TotalTime>24</TotalTime>
  <ScaleCrop>false</ScaleCrop>
  <LinksUpToDate>false</LinksUpToDate>
  <Application>WPS Office_12.8.2.1115_F1E327BC-269C-435d-A152-05C5408002CA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2025-07-26T18:33:00Z</dcterms:created>
  <dc:creator>Administrator</dc:creator>
  <cp:lastModifiedBy>杨小卫</cp:lastModifiedBy>
  <dcterms:modified xsi:type="dcterms:W3CDTF">2025-10-15T09:37:56Z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2025-10-14T15:24:12Z</vt:filetime>
  </property>
  <property fmtid="{D5CDD505-2E9C-101B-9397-08002B2CF9AE}" pid="4" name="KSOProductBuildVer">
    <vt:lpwstr>2052-12.8.2.1115</vt:lpwstr>
  </property>
  <property fmtid="{D5CDD505-2E9C-101B-9397-08002B2CF9AE}" pid="5" name="ICV">
    <vt:lpwstr>4664AF3D0B608222F4FAEE688BF8F6E2_43</vt:lpwstr>
  </property>
</Properties>
</file>