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5"/>
        <w:tblpPr w:leftFromText="180" w:rightFromText="180" w:vertAnchor="page" w:horzAnchor="page" w:tblpX="1507" w:tblpY="1419"/>
        <w:tblOverlap w:val="never"/>
        <w:tblW w:w="9071" w:type="dxa"/>
        <w:tblInd w:w="0" w:type="dxa"/>
        <w:tblBorders>
          <w:top w:val="none" w:color="auto" w:sz="0" w:space="0"/>
          <w:left w:val="none" w:color="auto" w:sz="0" w:space="0"/>
          <w:bottom w:val="thinThickSmallGap" w:color="FF0000" w:sz="12"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9071"/>
      </w:tblGrid>
      <w:tr>
        <w:tblPrEx>
          <w:tblBorders>
            <w:top w:val="none" w:color="auto" w:sz="0" w:space="0"/>
            <w:left w:val="none" w:color="auto" w:sz="0" w:space="0"/>
            <w:bottom w:val="thinThickSmallGap" w:color="FF0000" w:sz="12" w:space="0"/>
            <w:right w:val="none" w:color="auto" w:sz="0" w:space="0"/>
            <w:insideH w:val="none" w:color="auto" w:sz="0" w:space="0"/>
            <w:insideV w:val="none" w:color="auto" w:sz="0" w:space="0"/>
          </w:tblBorders>
          <w:tblCellMar>
            <w:top w:w="0" w:type="dxa"/>
            <w:left w:w="108" w:type="dxa"/>
            <w:bottom w:w="0" w:type="dxa"/>
            <w:right w:w="108" w:type="dxa"/>
          </w:tblCellMar>
        </w:tblPrEx>
        <w:tc>
          <w:tcPr>
            <w:tcW w:w="9071" w:type="dxa"/>
            <w:tcBorders>
              <w:tl2br w:val="nil"/>
              <w:tr2bl w:val="nil"/>
            </w:tcBorders>
            <w:vAlign w:val="top"/>
          </w:tcPr>
          <w:p>
            <w:pPr>
              <w:jc w:val="distribute"/>
              <w:rPr>
                <w:rFonts w:hint="eastAsia" w:ascii="方正小标宋简体" w:hAnsi="方正小标宋简体" w:eastAsia="方正小标宋简体" w:cs="方正小标宋简体"/>
                <w:vertAlign w:val="baseline"/>
                <w:lang w:eastAsia="zh-CN"/>
              </w:rPr>
            </w:pPr>
            <w:r>
              <w:rPr>
                <w:rFonts w:hint="eastAsia" w:ascii="方正小标宋简体" w:hAnsi="方正小标宋简体" w:eastAsia="方正小标宋简体" w:cs="方正小标宋简体"/>
                <w:b w:val="0"/>
                <w:bCs w:val="0"/>
                <w:color w:val="FF0000"/>
                <w:spacing w:val="-11"/>
                <w:w w:val="45"/>
                <w:kern w:val="0"/>
                <w:sz w:val="90"/>
                <w:szCs w:val="90"/>
                <w:vertAlign w:val="baseline"/>
                <w:lang w:eastAsia="zh-CN"/>
              </w:rPr>
              <w:t>长沙市望城区政务公开政务服务工作领导小组办公室</w:t>
            </w:r>
          </w:p>
        </w:tc>
      </w:tr>
      <w:tr>
        <w:tblPrEx>
          <w:tblBorders>
            <w:top w:val="none" w:color="auto" w:sz="0" w:space="0"/>
            <w:left w:val="none" w:color="auto" w:sz="0" w:space="0"/>
            <w:bottom w:val="thinThickSmallGap" w:color="FF0000" w:sz="12" w:space="0"/>
            <w:right w:val="none" w:color="auto" w:sz="0" w:space="0"/>
            <w:insideH w:val="none" w:color="auto" w:sz="0" w:space="0"/>
            <w:insideV w:val="none" w:color="auto" w:sz="0" w:space="0"/>
          </w:tblBorders>
          <w:tblCellMar>
            <w:top w:w="0" w:type="dxa"/>
            <w:left w:w="108" w:type="dxa"/>
            <w:bottom w:w="0" w:type="dxa"/>
            <w:right w:w="108" w:type="dxa"/>
          </w:tblCellMar>
        </w:tblPrEx>
        <w:tc>
          <w:tcPr>
            <w:tcW w:w="9071" w:type="dxa"/>
            <w:tcBorders>
              <w:tl2br w:val="nil"/>
              <w:tr2bl w:val="nil"/>
            </w:tcBorders>
            <w:vAlign w:val="top"/>
          </w:tcPr>
          <w:p>
            <w:pPr>
              <w:spacing w:line="600" w:lineRule="exact"/>
              <w:ind w:firstLine="640" w:firstLineChars="200"/>
              <w:jc w:val="center"/>
              <w:rPr>
                <w:rFonts w:hint="default" w:ascii="仿宋_GB2312" w:eastAsia="仿宋_GB2312"/>
                <w:sz w:val="32"/>
                <w:szCs w:val="32"/>
                <w:lang w:val="en-US" w:eastAsia="zh-CN"/>
              </w:rPr>
            </w:pPr>
            <w:r>
              <w:rPr>
                <w:rFonts w:hint="eastAsia" w:ascii="仿宋_GB2312" w:eastAsia="仿宋_GB2312"/>
                <w:sz w:val="32"/>
                <w:szCs w:val="32"/>
                <w:lang w:eastAsia="zh-CN"/>
              </w:rPr>
              <w:t>望政务公开办发</w:t>
            </w:r>
            <w:r>
              <w:rPr>
                <w:rFonts w:hint="eastAsia" w:ascii="仿宋_GB2312" w:eastAsia="仿宋_GB2312"/>
                <w:sz w:val="32"/>
                <w:szCs w:val="32"/>
                <w:lang w:val="en-US" w:eastAsia="zh-CN"/>
              </w:rPr>
              <w:t>[2021]2号</w:t>
            </w:r>
          </w:p>
        </w:tc>
      </w:tr>
    </w:tbl>
    <w:p>
      <w:pPr>
        <w:spacing w:line="600" w:lineRule="exact"/>
        <w:jc w:val="center"/>
        <w:rPr>
          <w:rFonts w:hint="eastAsia" w:ascii="方正小标宋简体" w:eastAsia="方正小标宋简体"/>
          <w:spacing w:val="-10"/>
          <w:sz w:val="44"/>
          <w:szCs w:val="44"/>
        </w:rPr>
      </w:pPr>
    </w:p>
    <w:p>
      <w:pPr>
        <w:spacing w:line="600" w:lineRule="exact"/>
        <w:jc w:val="center"/>
        <w:rPr>
          <w:rFonts w:ascii="方正小标宋简体" w:eastAsia="方正小标宋简体"/>
          <w:spacing w:val="-10"/>
          <w:sz w:val="44"/>
          <w:szCs w:val="44"/>
        </w:rPr>
      </w:pPr>
      <w:bookmarkStart w:id="0" w:name="_GoBack"/>
      <w:r>
        <w:rPr>
          <w:rFonts w:hint="eastAsia" w:ascii="方正小标宋简体" w:eastAsia="方正小标宋简体"/>
          <w:spacing w:val="-10"/>
          <w:sz w:val="44"/>
          <w:szCs w:val="44"/>
        </w:rPr>
        <w:t>关于进一步加强基层政务公开标准化规范化工作的通知</w:t>
      </w:r>
    </w:p>
    <w:bookmarkEnd w:id="0"/>
    <w:p>
      <w:pPr>
        <w:spacing w:line="600" w:lineRule="exact"/>
        <w:jc w:val="center"/>
        <w:rPr>
          <w:rFonts w:ascii="方正小标宋简体" w:eastAsia="方正小标宋简体"/>
          <w:spacing w:val="-10"/>
          <w:sz w:val="44"/>
          <w:szCs w:val="44"/>
        </w:rPr>
      </w:pPr>
    </w:p>
    <w:p>
      <w:pPr>
        <w:spacing w:line="600" w:lineRule="exact"/>
        <w:jc w:val="left"/>
        <w:rPr>
          <w:rFonts w:ascii="仿宋_GB2312" w:eastAsia="仿宋_GB2312"/>
          <w:sz w:val="32"/>
          <w:szCs w:val="32"/>
        </w:rPr>
      </w:pPr>
      <w:r>
        <w:rPr>
          <w:rFonts w:hint="eastAsia" w:ascii="仿宋_GB2312" w:eastAsia="仿宋_GB2312"/>
          <w:sz w:val="32"/>
          <w:szCs w:val="32"/>
        </w:rPr>
        <w:t>各街</w:t>
      </w:r>
      <w:r>
        <w:rPr>
          <w:rFonts w:hint="eastAsia" w:ascii="仿宋_GB2312" w:eastAsia="仿宋_GB2312"/>
          <w:sz w:val="32"/>
          <w:szCs w:val="32"/>
          <w:lang w:eastAsia="zh-CN"/>
        </w:rPr>
        <w:t>镇、区直</w:t>
      </w:r>
      <w:r>
        <w:rPr>
          <w:rFonts w:hint="eastAsia" w:ascii="仿宋_GB2312" w:eastAsia="仿宋_GB2312"/>
          <w:sz w:val="32"/>
          <w:szCs w:val="32"/>
        </w:rPr>
        <w:t>各有关单位:</w:t>
      </w:r>
    </w:p>
    <w:p>
      <w:pPr>
        <w:spacing w:line="600" w:lineRule="exact"/>
        <w:ind w:firstLine="640" w:firstLineChars="200"/>
        <w:rPr>
          <w:rFonts w:ascii="仿宋_GB2312" w:eastAsia="仿宋_GB2312"/>
          <w:sz w:val="32"/>
          <w:szCs w:val="32"/>
        </w:rPr>
      </w:pPr>
      <w:r>
        <w:rPr>
          <w:rFonts w:hint="eastAsia" w:ascii="仿宋_GB2312" w:eastAsia="仿宋_GB2312"/>
          <w:sz w:val="32"/>
          <w:szCs w:val="32"/>
        </w:rPr>
        <w:t>根据《国务院办公厅关于全面推进基层政务公开标准化规范化工作的指导意见》（国办发〔201</w:t>
      </w:r>
      <w:r>
        <w:rPr>
          <w:rFonts w:ascii="仿宋_GB2312" w:eastAsia="仿宋_GB2312"/>
          <w:sz w:val="32"/>
          <w:szCs w:val="32"/>
        </w:rPr>
        <w:t>9</w:t>
      </w:r>
      <w:r>
        <w:rPr>
          <w:rFonts w:hint="eastAsia" w:ascii="仿宋_GB2312" w:eastAsia="仿宋_GB2312"/>
          <w:sz w:val="32"/>
          <w:szCs w:val="32"/>
        </w:rPr>
        <w:t>〕54号）《湖南省全面推进基层政务公开标准化规范化工作实施方案》（湘政务公开办发〔2020〕1号）《长沙市全面推进基层政务公开标准化规范化工作实施方案》（长政务办〔2020〕8号）和《关于进一步加强基层政务公开标准化规范化工作的通知》（长政务公开办发〔</w:t>
      </w:r>
      <w:r>
        <w:rPr>
          <w:rFonts w:ascii="仿宋_GB2312" w:eastAsia="仿宋_GB2312"/>
          <w:sz w:val="32"/>
          <w:szCs w:val="32"/>
        </w:rPr>
        <w:t>2021</w:t>
      </w:r>
      <w:r>
        <w:rPr>
          <w:rFonts w:hint="eastAsia" w:ascii="仿宋_GB2312" w:eastAsia="仿宋_GB2312"/>
          <w:sz w:val="32"/>
          <w:szCs w:val="32"/>
        </w:rPr>
        <w:t>〕</w:t>
      </w:r>
      <w:r>
        <w:rPr>
          <w:rFonts w:ascii="仿宋_GB2312" w:eastAsia="仿宋_GB2312"/>
          <w:sz w:val="32"/>
          <w:szCs w:val="32"/>
        </w:rPr>
        <w:t>1号</w:t>
      </w:r>
      <w:r>
        <w:rPr>
          <w:rFonts w:hint="eastAsia" w:ascii="仿宋_GB2312" w:eastAsia="仿宋_GB2312"/>
          <w:sz w:val="32"/>
          <w:szCs w:val="32"/>
        </w:rPr>
        <w:t>）文件要求，为进一步做好全区基层政务公开标准化规范化工作，不断提升基层政务公开能力、公开质量和公开平台建设水平，实现以公开促落实、促规范、促服务的目标，现将2021年基层政务公开标准化规范化重点工作明确如下。</w:t>
      </w:r>
    </w:p>
    <w:p>
      <w:pPr>
        <w:spacing w:line="600" w:lineRule="exact"/>
        <w:ind w:firstLine="640" w:firstLineChars="200"/>
        <w:jc w:val="left"/>
        <w:rPr>
          <w:rFonts w:ascii="黑体" w:hAnsi="黑体" w:eastAsia="黑体"/>
          <w:sz w:val="32"/>
          <w:szCs w:val="32"/>
        </w:rPr>
      </w:pPr>
      <w:r>
        <w:rPr>
          <w:rFonts w:hint="eastAsia" w:ascii="黑体" w:hAnsi="黑体" w:eastAsia="黑体"/>
          <w:sz w:val="32"/>
          <w:szCs w:val="32"/>
        </w:rPr>
        <w:t>一、丰富公开内容，编制一级目录</w:t>
      </w:r>
    </w:p>
    <w:p>
      <w:pPr>
        <w:spacing w:line="600" w:lineRule="exact"/>
        <w:ind w:firstLine="640" w:firstLineChars="200"/>
        <w:rPr>
          <w:rFonts w:ascii="仿宋_GB2312" w:eastAsia="仿宋_GB2312"/>
          <w:sz w:val="32"/>
          <w:szCs w:val="32"/>
        </w:rPr>
      </w:pPr>
      <w:r>
        <w:rPr>
          <w:rFonts w:hint="eastAsia" w:ascii="仿宋_GB2312" w:eastAsia="仿宋_GB2312"/>
          <w:sz w:val="32"/>
          <w:szCs w:val="32"/>
        </w:rPr>
        <w:t>按照“一</w:t>
      </w:r>
      <w:r>
        <w:rPr>
          <w:rFonts w:ascii="仿宋_GB2312" w:eastAsia="仿宋_GB2312"/>
          <w:sz w:val="32"/>
          <w:szCs w:val="32"/>
        </w:rPr>
        <w:t>级编制一级目录，一级做好一级公开”的要求，</w:t>
      </w:r>
      <w:r>
        <w:rPr>
          <w:rFonts w:hint="eastAsia" w:ascii="仿宋_GB2312" w:eastAsia="仿宋_GB2312"/>
          <w:sz w:val="32"/>
          <w:szCs w:val="32"/>
        </w:rPr>
        <w:t>各有关单位</w:t>
      </w:r>
      <w:r>
        <w:rPr>
          <w:rFonts w:ascii="仿宋_GB2312" w:eastAsia="仿宋_GB2312"/>
          <w:sz w:val="32"/>
          <w:szCs w:val="32"/>
        </w:rPr>
        <w:t>依据法律法规和机构职能职责调整情况，对照国务院下发的基层政务公开目录指引，做好2020年公开事项目录调整完善和查漏补缺,更新发布2021版基层政务公开事项目录，对照2021版公开目录,做好公开内容的补充、修改和完善工作，确保公开专栏各领域公开信息与基层政务公开事项目录一致。</w:t>
      </w:r>
    </w:p>
    <w:p>
      <w:pPr>
        <w:spacing w:line="600" w:lineRule="exact"/>
        <w:ind w:firstLine="640" w:firstLineChars="200"/>
        <w:jc w:val="left"/>
        <w:rPr>
          <w:rFonts w:ascii="黑体" w:hAnsi="黑体" w:eastAsia="黑体"/>
          <w:sz w:val="32"/>
          <w:szCs w:val="32"/>
        </w:rPr>
      </w:pPr>
      <w:r>
        <w:rPr>
          <w:rFonts w:hint="eastAsia" w:ascii="黑体" w:hAnsi="黑体" w:eastAsia="黑体"/>
          <w:sz w:val="32"/>
          <w:szCs w:val="32"/>
        </w:rPr>
        <w:t>二、升级线上专栏，推行一站服务</w:t>
      </w:r>
    </w:p>
    <w:p>
      <w:pPr>
        <w:spacing w:line="600" w:lineRule="exact"/>
        <w:ind w:firstLine="640" w:firstLineChars="200"/>
        <w:rPr>
          <w:rFonts w:ascii="仿宋_GB2312" w:eastAsia="仿宋_GB2312"/>
          <w:sz w:val="32"/>
          <w:szCs w:val="32"/>
        </w:rPr>
      </w:pPr>
      <w:r>
        <w:rPr>
          <w:rFonts w:hint="eastAsia" w:ascii="仿宋_GB2312" w:eastAsia="仿宋_GB2312"/>
          <w:sz w:val="32"/>
          <w:szCs w:val="32"/>
        </w:rPr>
        <w:t>各街</w:t>
      </w:r>
      <w:r>
        <w:rPr>
          <w:rFonts w:hint="eastAsia" w:ascii="仿宋_GB2312" w:eastAsia="仿宋_GB2312"/>
          <w:sz w:val="32"/>
          <w:szCs w:val="32"/>
          <w:lang w:eastAsia="zh-CN"/>
        </w:rPr>
        <w:t>镇、</w:t>
      </w:r>
      <w:r>
        <w:rPr>
          <w:rFonts w:hint="eastAsia" w:ascii="仿宋_GB2312" w:eastAsia="仿宋_GB2312"/>
          <w:sz w:val="32"/>
          <w:szCs w:val="32"/>
        </w:rPr>
        <w:t>区直各相关单位要充分发挥政府门户网站基层政务公开专栏的作用，及时、主动、集中发布各领域目录要求主动公开的信息，做好公开内容保障工作。区数据资源管理局要配合市数据资源管理局做好基层政务公开专栏建设及有关功能的优化、升级，依托市政府网站集约化平台实现“我要看”与“我要办”的功能，实现政府门户网站和政务服务一体化平台的数据对接，确保公开和服务数据共享、内容同源、标准一致。各领域内容保障责任单位要组织开展填报内容准确性自查，确保政务服务事项网办属性、公开链接等填写正确。</w:t>
      </w:r>
      <w:r>
        <w:rPr>
          <w:rFonts w:ascii="仿宋_GB2312" w:eastAsia="仿宋_GB2312"/>
          <w:sz w:val="32"/>
          <w:szCs w:val="32"/>
        </w:rPr>
        <w:t>( 2021年</w:t>
      </w:r>
      <w:r>
        <w:rPr>
          <w:rFonts w:hint="eastAsia" w:ascii="仿宋_GB2312" w:eastAsia="仿宋_GB2312"/>
          <w:sz w:val="32"/>
          <w:szCs w:val="32"/>
          <w:lang w:val="en-US" w:eastAsia="zh-CN"/>
        </w:rPr>
        <w:t>7</w:t>
      </w:r>
      <w:r>
        <w:rPr>
          <w:rFonts w:ascii="仿宋_GB2312" w:eastAsia="仿宋_GB2312"/>
          <w:sz w:val="32"/>
          <w:szCs w:val="32"/>
        </w:rPr>
        <w:t>月底前，完成专栏升级和填报内容准确性自查</w:t>
      </w:r>
      <w:r>
        <w:rPr>
          <w:rFonts w:hint="eastAsia" w:ascii="仿宋_GB2312" w:eastAsia="仿宋_GB2312"/>
          <w:sz w:val="32"/>
          <w:szCs w:val="32"/>
        </w:rPr>
        <w:t>)</w:t>
      </w:r>
    </w:p>
    <w:p>
      <w:pPr>
        <w:spacing w:line="600" w:lineRule="exact"/>
        <w:ind w:firstLine="640" w:firstLineChars="200"/>
        <w:jc w:val="left"/>
        <w:rPr>
          <w:rFonts w:ascii="黑体" w:hAnsi="黑体" w:eastAsia="黑体"/>
          <w:sz w:val="32"/>
          <w:szCs w:val="32"/>
        </w:rPr>
      </w:pPr>
      <w:r>
        <w:rPr>
          <w:rFonts w:hint="eastAsia" w:ascii="黑体" w:hAnsi="黑体" w:eastAsia="黑体"/>
          <w:sz w:val="32"/>
          <w:szCs w:val="32"/>
        </w:rPr>
        <w:t>三、规范专区建设，贯彻一个标准</w:t>
      </w:r>
    </w:p>
    <w:p>
      <w:pPr>
        <w:spacing w:line="600" w:lineRule="exact"/>
        <w:ind w:firstLine="640" w:firstLineChars="200"/>
        <w:rPr>
          <w:rFonts w:ascii="仿宋_GB2312" w:eastAsia="仿宋_GB2312"/>
          <w:sz w:val="32"/>
          <w:szCs w:val="32"/>
        </w:rPr>
      </w:pPr>
      <w:r>
        <w:rPr>
          <w:rFonts w:hint="eastAsia" w:ascii="仿宋_GB2312" w:eastAsia="仿宋_GB2312"/>
          <w:sz w:val="32"/>
          <w:szCs w:val="32"/>
        </w:rPr>
        <w:t>各街</w:t>
      </w:r>
      <w:r>
        <w:rPr>
          <w:rFonts w:hint="eastAsia" w:ascii="仿宋_GB2312" w:eastAsia="仿宋_GB2312"/>
          <w:sz w:val="32"/>
          <w:szCs w:val="32"/>
          <w:lang w:eastAsia="zh-CN"/>
        </w:rPr>
        <w:t>镇</w:t>
      </w:r>
      <w:r>
        <w:rPr>
          <w:rFonts w:ascii="仿宋_GB2312" w:eastAsia="仿宋_GB2312"/>
          <w:sz w:val="32"/>
          <w:szCs w:val="32"/>
        </w:rPr>
        <w:t>要按照2020年下发的</w:t>
      </w:r>
      <w:r>
        <w:rPr>
          <w:rFonts w:hint="eastAsia" w:ascii="仿宋_GB2312" w:eastAsia="仿宋_GB2312"/>
          <w:sz w:val="32"/>
          <w:szCs w:val="32"/>
        </w:rPr>
        <w:t>《</w:t>
      </w:r>
      <w:r>
        <w:rPr>
          <w:rFonts w:hint="eastAsia" w:ascii="仿宋_GB2312" w:eastAsia="仿宋_GB2312"/>
          <w:sz w:val="32"/>
          <w:szCs w:val="32"/>
          <w:lang w:eastAsia="zh-CN"/>
        </w:rPr>
        <w:t>关于转发《长沙市政务公开办关于印发</w:t>
      </w:r>
      <w:r>
        <w:rPr>
          <w:rFonts w:hint="eastAsia" w:ascii="仿宋_GB2312" w:eastAsia="仿宋_GB2312"/>
          <w:sz w:val="32"/>
          <w:szCs w:val="32"/>
          <w:lang w:val="en-US" w:eastAsia="zh-CN"/>
        </w:rPr>
        <w:t>&lt;基层政务公开专区建设标准与管理要求&gt;的通知》的通知</w:t>
      </w:r>
      <w:r>
        <w:rPr>
          <w:rFonts w:ascii="仿宋_GB2312" w:eastAsia="仿宋_GB2312"/>
          <w:sz w:val="32"/>
          <w:szCs w:val="32"/>
        </w:rPr>
        <w:t>进一步规范</w:t>
      </w:r>
      <w:r>
        <w:rPr>
          <w:rFonts w:hint="eastAsia" w:ascii="仿宋_GB2312" w:eastAsia="仿宋_GB2312"/>
          <w:sz w:val="32"/>
          <w:szCs w:val="32"/>
        </w:rPr>
        <w:t>区</w:t>
      </w:r>
      <w:r>
        <w:rPr>
          <w:rFonts w:ascii="仿宋_GB2312" w:eastAsia="仿宋_GB2312"/>
          <w:sz w:val="32"/>
          <w:szCs w:val="32"/>
        </w:rPr>
        <w:t>本级及街镇政务服务大厅等场所，设立标识清楚、方便实用、设施齐全的政务公开专区，实现政务公开专区“五统一”</w:t>
      </w:r>
      <w:r>
        <w:rPr>
          <w:rFonts w:hint="eastAsia" w:ascii="仿宋_GB2312" w:eastAsia="仿宋_GB2312"/>
          <w:sz w:val="32"/>
          <w:szCs w:val="32"/>
        </w:rPr>
        <w:t>（</w:t>
      </w:r>
      <w:r>
        <w:rPr>
          <w:rFonts w:ascii="仿宋_GB2312" w:eastAsia="仿宋_GB2312"/>
          <w:sz w:val="32"/>
          <w:szCs w:val="32"/>
        </w:rPr>
        <w:t>统一标识标牌、统一公开内容、统一载体配置、统一服务功能、统一管理机制</w:t>
      </w:r>
      <w:r>
        <w:rPr>
          <w:rFonts w:hint="eastAsia" w:ascii="仿宋_GB2312" w:eastAsia="仿宋_GB2312"/>
          <w:sz w:val="32"/>
          <w:szCs w:val="32"/>
        </w:rPr>
        <w:t>）</w:t>
      </w:r>
      <w:r>
        <w:rPr>
          <w:rFonts w:ascii="仿宋_GB2312" w:eastAsia="仿宋_GB2312"/>
          <w:sz w:val="32"/>
          <w:szCs w:val="32"/>
        </w:rPr>
        <w:t>，免费为群众提供政府信息查询、办事咨询答复等服务。按照公开事项目录要求，保持公开信息线上线下内容一致，促进线上线下信息公开优势互补、融合发展。要结合实际，利用多种渠道提升政府信息影响力，拓宽政务公开渠道，将政务公开的触角延伸到基层末端，综合</w:t>
      </w:r>
      <w:r>
        <w:rPr>
          <w:rFonts w:hint="eastAsia" w:ascii="仿宋_GB2312" w:eastAsia="仿宋_GB2312"/>
          <w:sz w:val="32"/>
          <w:szCs w:val="32"/>
        </w:rPr>
        <w:t>利用村（社区）公开栏、微信群、广播、电视、报纸、大喇叭等媒介和渠道发布政务信息。（</w:t>
      </w:r>
      <w:r>
        <w:rPr>
          <w:rFonts w:ascii="仿宋_GB2312" w:eastAsia="仿宋_GB2312"/>
          <w:sz w:val="32"/>
          <w:szCs w:val="32"/>
        </w:rPr>
        <w:t>2021年</w:t>
      </w:r>
      <w:r>
        <w:rPr>
          <w:rFonts w:hint="eastAsia" w:ascii="仿宋_GB2312" w:eastAsia="仿宋_GB2312"/>
          <w:sz w:val="32"/>
          <w:szCs w:val="32"/>
          <w:lang w:val="en-US" w:eastAsia="zh-CN"/>
        </w:rPr>
        <w:t>7</w:t>
      </w:r>
      <w:r>
        <w:rPr>
          <w:rFonts w:ascii="仿宋_GB2312" w:eastAsia="仿宋_GB2312"/>
          <w:sz w:val="32"/>
          <w:szCs w:val="32"/>
        </w:rPr>
        <w:t>月底前，完成和提质本级及镇街政务公开专区建设）</w:t>
      </w:r>
    </w:p>
    <w:p>
      <w:pPr>
        <w:spacing w:line="600" w:lineRule="exact"/>
        <w:ind w:firstLine="640" w:firstLineChars="200"/>
        <w:jc w:val="left"/>
        <w:rPr>
          <w:rFonts w:ascii="黑体" w:hAnsi="黑体" w:eastAsia="黑体"/>
          <w:sz w:val="32"/>
          <w:szCs w:val="32"/>
        </w:rPr>
      </w:pPr>
      <w:r>
        <w:rPr>
          <w:rFonts w:hint="eastAsia" w:ascii="黑体" w:hAnsi="黑体" w:eastAsia="黑体"/>
          <w:sz w:val="32"/>
          <w:szCs w:val="32"/>
        </w:rPr>
        <w:t>四、强化公开管理，建立一套机制</w:t>
      </w:r>
    </w:p>
    <w:p>
      <w:pPr>
        <w:spacing w:line="600" w:lineRule="exact"/>
        <w:ind w:firstLine="640" w:firstLineChars="200"/>
        <w:rPr>
          <w:rFonts w:ascii="仿宋_GB2312" w:eastAsia="仿宋_GB2312"/>
          <w:sz w:val="32"/>
          <w:szCs w:val="32"/>
        </w:rPr>
      </w:pPr>
      <w:r>
        <w:rPr>
          <w:rFonts w:hint="eastAsia" w:ascii="仿宋_GB2312" w:eastAsia="仿宋_GB2312"/>
          <w:sz w:val="32"/>
          <w:szCs w:val="32"/>
        </w:rPr>
        <w:t>各街</w:t>
      </w:r>
      <w:r>
        <w:rPr>
          <w:rFonts w:hint="eastAsia" w:ascii="仿宋_GB2312" w:eastAsia="仿宋_GB2312"/>
          <w:sz w:val="32"/>
          <w:szCs w:val="32"/>
          <w:lang w:eastAsia="zh-CN"/>
        </w:rPr>
        <w:t>镇、</w:t>
      </w:r>
      <w:r>
        <w:rPr>
          <w:rFonts w:hint="eastAsia" w:ascii="仿宋_GB2312" w:eastAsia="仿宋_GB2312"/>
          <w:sz w:val="32"/>
          <w:szCs w:val="32"/>
        </w:rPr>
        <w:t>区直各相关单位</w:t>
      </w:r>
      <w:r>
        <w:rPr>
          <w:rFonts w:ascii="仿宋_GB2312" w:eastAsia="仿宋_GB2312"/>
          <w:sz w:val="32"/>
          <w:szCs w:val="32"/>
        </w:rPr>
        <w:t>要持续完善政务公开工作机制，建立政务公开专栏内容保障及动态管理制度，明确各领域内容保障责任单位、专栏管理责任人、信息发布及动态更新要求等;建立政务公开专区管理规范，明确专人或相关人员负责专区的日常管理、维护。进一步加强政府信息规范管理，规范信息发布、解读回应、依申请公开等流程，健全政府信息公开属性标</w:t>
      </w:r>
      <w:r>
        <w:rPr>
          <w:rFonts w:hint="eastAsia" w:ascii="仿宋_GB2312" w:eastAsia="仿宋_GB2312"/>
          <w:sz w:val="32"/>
          <w:szCs w:val="32"/>
        </w:rPr>
        <w:t>识源头认定、基层行政决策公众参与机制和定期考核、责任追究、社会评议、第三方评估等制度，不断提升政务公开管理水平。</w:t>
      </w:r>
      <w:r>
        <w:rPr>
          <w:rFonts w:ascii="仿宋_GB2312" w:eastAsia="仿宋_GB2312"/>
          <w:sz w:val="32"/>
          <w:szCs w:val="32"/>
        </w:rPr>
        <w:t>(2021年10月底前，完成机制建设并将相关材料报</w:t>
      </w:r>
      <w:r>
        <w:rPr>
          <w:rFonts w:hint="eastAsia" w:ascii="仿宋_GB2312" w:eastAsia="仿宋_GB2312"/>
          <w:sz w:val="32"/>
          <w:szCs w:val="32"/>
          <w:lang w:eastAsia="zh-CN"/>
        </w:rPr>
        <w:t>区</w:t>
      </w:r>
      <w:r>
        <w:rPr>
          <w:rFonts w:ascii="仿宋_GB2312" w:eastAsia="仿宋_GB2312"/>
          <w:sz w:val="32"/>
          <w:szCs w:val="32"/>
        </w:rPr>
        <w:t>政务公开办)</w:t>
      </w:r>
    </w:p>
    <w:p>
      <w:pPr>
        <w:spacing w:line="600" w:lineRule="exact"/>
        <w:ind w:firstLine="640" w:firstLineChars="200"/>
        <w:jc w:val="left"/>
        <w:rPr>
          <w:rFonts w:ascii="黑体" w:hAnsi="黑体" w:eastAsia="黑体"/>
          <w:sz w:val="32"/>
          <w:szCs w:val="32"/>
        </w:rPr>
      </w:pPr>
      <w:r>
        <w:rPr>
          <w:rFonts w:hint="eastAsia" w:ascii="黑体" w:hAnsi="黑体" w:eastAsia="黑体"/>
          <w:sz w:val="32"/>
          <w:szCs w:val="32"/>
        </w:rPr>
        <w:t>五、突出区域特色，打造一批品牌</w:t>
      </w:r>
    </w:p>
    <w:p>
      <w:pPr>
        <w:spacing w:line="600" w:lineRule="exact"/>
        <w:ind w:firstLine="640" w:firstLineChars="200"/>
        <w:rPr>
          <w:rFonts w:ascii="仿宋_GB2312" w:eastAsia="仿宋_GB2312"/>
          <w:sz w:val="32"/>
          <w:szCs w:val="32"/>
        </w:rPr>
      </w:pPr>
      <w:r>
        <w:rPr>
          <w:rFonts w:hint="eastAsia" w:ascii="仿宋_GB2312" w:eastAsia="仿宋_GB2312"/>
          <w:sz w:val="32"/>
          <w:szCs w:val="32"/>
        </w:rPr>
        <w:t>各街</w:t>
      </w:r>
      <w:r>
        <w:rPr>
          <w:rFonts w:hint="eastAsia" w:ascii="仿宋_GB2312" w:eastAsia="仿宋_GB2312"/>
          <w:sz w:val="32"/>
          <w:szCs w:val="32"/>
          <w:lang w:eastAsia="zh-CN"/>
        </w:rPr>
        <w:t>镇、</w:t>
      </w:r>
      <w:r>
        <w:rPr>
          <w:rFonts w:hint="eastAsia" w:ascii="仿宋_GB2312" w:eastAsia="仿宋_GB2312"/>
          <w:sz w:val="32"/>
          <w:szCs w:val="32"/>
        </w:rPr>
        <w:t>区直各相关单位要立足实际，积极探索，创新工作机制和方式方法，加强经费保障，围绕基层政务公开工作，在公开领域拓展、政策解读回应、公开专区打造、信息精准推送、以公开促乡村振兴、公开促营商环境优化等方面，精心打造一个拿得出、叫得响、立得住的群众认可的基层政务公开品牌，</w:t>
      </w:r>
      <w:r>
        <w:rPr>
          <w:rFonts w:ascii="仿宋_GB2312" w:eastAsia="仿宋_GB2312"/>
          <w:sz w:val="32"/>
          <w:szCs w:val="32"/>
        </w:rPr>
        <w:t>形成可复制、可推广的经验做法。积极开展基层政务公开标准化规范化工作宣传推介，重点做好线下公开专区和线上公开专栏的宣传、推广，切实发挥出线上线下公开主阵地的作用，让市民知晓公开渠道和内容，易获取公开成果。</w:t>
      </w:r>
      <w:r>
        <w:rPr>
          <w:rFonts w:hint="eastAsia" w:ascii="仿宋_GB2312" w:eastAsia="仿宋_GB2312"/>
          <w:sz w:val="32"/>
          <w:szCs w:val="32"/>
        </w:rPr>
        <w:t>（</w:t>
      </w:r>
      <w:r>
        <w:rPr>
          <w:rFonts w:ascii="仿宋_GB2312" w:eastAsia="仿宋_GB2312"/>
          <w:sz w:val="32"/>
          <w:szCs w:val="32"/>
        </w:rPr>
        <w:t>11月底前，报品牌打造成果至</w:t>
      </w:r>
      <w:r>
        <w:rPr>
          <w:rFonts w:hint="eastAsia" w:ascii="仿宋_GB2312" w:eastAsia="仿宋_GB2312"/>
          <w:sz w:val="32"/>
          <w:szCs w:val="32"/>
        </w:rPr>
        <w:t>区</w:t>
      </w:r>
      <w:r>
        <w:rPr>
          <w:rFonts w:ascii="仿宋_GB2312" w:eastAsia="仿宋_GB2312"/>
          <w:sz w:val="32"/>
          <w:szCs w:val="32"/>
        </w:rPr>
        <w:t>政务公开办</w:t>
      </w:r>
      <w:r>
        <w:rPr>
          <w:rFonts w:hint="eastAsia" w:ascii="仿宋_GB2312" w:eastAsia="仿宋_GB2312"/>
          <w:sz w:val="32"/>
          <w:szCs w:val="32"/>
        </w:rPr>
        <w:t>）</w:t>
      </w:r>
    </w:p>
    <w:p>
      <w:pPr>
        <w:spacing w:line="600" w:lineRule="exact"/>
        <w:ind w:firstLine="640" w:firstLineChars="200"/>
        <w:jc w:val="left"/>
        <w:rPr>
          <w:rFonts w:ascii="黑体" w:hAnsi="黑体" w:eastAsia="黑体"/>
          <w:sz w:val="32"/>
          <w:szCs w:val="32"/>
        </w:rPr>
      </w:pPr>
      <w:r>
        <w:rPr>
          <w:rFonts w:hint="eastAsia" w:ascii="黑体" w:hAnsi="黑体" w:eastAsia="黑体"/>
          <w:sz w:val="32"/>
          <w:szCs w:val="32"/>
        </w:rPr>
        <w:t>六、注重结果运用，开展一次评估</w:t>
      </w:r>
    </w:p>
    <w:p>
      <w:pPr>
        <w:spacing w:line="600" w:lineRule="exact"/>
        <w:ind w:firstLine="640" w:firstLineChars="200"/>
        <w:rPr>
          <w:rFonts w:ascii="仿宋_GB2312" w:eastAsia="仿宋_GB2312"/>
          <w:sz w:val="32"/>
          <w:szCs w:val="32"/>
        </w:rPr>
      </w:pPr>
      <w:r>
        <w:rPr>
          <w:rFonts w:hint="eastAsia" w:ascii="仿宋_GB2312" w:eastAsia="仿宋_GB2312"/>
          <w:sz w:val="32"/>
          <w:szCs w:val="32"/>
        </w:rPr>
        <w:t>各街</w:t>
      </w:r>
      <w:r>
        <w:rPr>
          <w:rFonts w:hint="eastAsia" w:ascii="仿宋_GB2312" w:eastAsia="仿宋_GB2312"/>
          <w:sz w:val="32"/>
          <w:szCs w:val="32"/>
          <w:lang w:eastAsia="zh-CN"/>
        </w:rPr>
        <w:t>镇、</w:t>
      </w:r>
      <w:r>
        <w:rPr>
          <w:rFonts w:hint="eastAsia" w:ascii="仿宋_GB2312" w:eastAsia="仿宋_GB2312"/>
          <w:sz w:val="32"/>
          <w:szCs w:val="32"/>
        </w:rPr>
        <w:t>区直各相关单位</w:t>
      </w:r>
      <w:r>
        <w:rPr>
          <w:rFonts w:ascii="仿宋_GB2312" w:eastAsia="仿宋_GB2312"/>
          <w:sz w:val="32"/>
          <w:szCs w:val="32"/>
        </w:rPr>
        <w:t>要进一步加大基层政务公开标准化规范化工作统筹、指导、协调和监督力度，强化问题整改落实，及时总结经验。</w:t>
      </w:r>
      <w:r>
        <w:rPr>
          <w:rFonts w:hint="eastAsia" w:ascii="仿宋_GB2312" w:eastAsia="仿宋_GB2312"/>
          <w:sz w:val="32"/>
          <w:szCs w:val="32"/>
        </w:rPr>
        <w:t>区</w:t>
      </w:r>
      <w:r>
        <w:rPr>
          <w:rFonts w:ascii="仿宋_GB2312" w:eastAsia="仿宋_GB2312"/>
          <w:sz w:val="32"/>
          <w:szCs w:val="32"/>
        </w:rPr>
        <w:t>政务公开办将不定期在全</w:t>
      </w:r>
      <w:r>
        <w:rPr>
          <w:rFonts w:hint="eastAsia" w:ascii="仿宋_GB2312" w:eastAsia="仿宋_GB2312"/>
          <w:sz w:val="32"/>
          <w:szCs w:val="32"/>
        </w:rPr>
        <w:t>区</w:t>
      </w:r>
      <w:r>
        <w:rPr>
          <w:rFonts w:ascii="仿宋_GB2312" w:eastAsia="仿宋_GB2312"/>
          <w:sz w:val="32"/>
          <w:szCs w:val="32"/>
        </w:rPr>
        <w:t>通报公开目录梳理、专栏内容保障等工作推进情况，适时组织开展第三方评估，第三方评估结果将作为政务公开绩效考核的重要依据，并纳入政府信息公开年报向社会公开。各</w:t>
      </w:r>
      <w:r>
        <w:rPr>
          <w:rFonts w:hint="eastAsia" w:ascii="仿宋_GB2312" w:eastAsia="仿宋_GB2312"/>
          <w:sz w:val="32"/>
          <w:szCs w:val="32"/>
        </w:rPr>
        <w:t>单位</w:t>
      </w:r>
      <w:r>
        <w:rPr>
          <w:rFonts w:ascii="仿宋_GB2312" w:eastAsia="仿宋_GB2312"/>
          <w:sz w:val="32"/>
          <w:szCs w:val="32"/>
        </w:rPr>
        <w:t>要对基层政务公开情况开展自查自评。</w:t>
      </w:r>
      <w:r>
        <w:rPr>
          <w:rFonts w:hint="eastAsia" w:ascii="仿宋_GB2312" w:eastAsia="仿宋_GB2312"/>
          <w:sz w:val="32"/>
          <w:szCs w:val="32"/>
        </w:rPr>
        <w:t>（</w:t>
      </w:r>
      <w:r>
        <w:rPr>
          <w:rFonts w:ascii="仿宋_GB2312" w:eastAsia="仿宋_GB2312"/>
          <w:sz w:val="32"/>
          <w:szCs w:val="32"/>
        </w:rPr>
        <w:t>2021年11月底前，完成自查自</w:t>
      </w:r>
      <w:r>
        <w:rPr>
          <w:rFonts w:hint="eastAsia" w:ascii="仿宋_GB2312" w:eastAsia="仿宋_GB2312"/>
          <w:sz w:val="32"/>
          <w:szCs w:val="32"/>
        </w:rPr>
        <w:t>评并将自评报告报区政务公开办</w:t>
      </w:r>
      <w:r>
        <w:rPr>
          <w:rFonts w:ascii="仿宋_GB2312" w:eastAsia="仿宋_GB2312"/>
          <w:sz w:val="32"/>
          <w:szCs w:val="32"/>
        </w:rPr>
        <w:t>)</w:t>
      </w:r>
    </w:p>
    <w:p>
      <w:pPr>
        <w:spacing w:line="600" w:lineRule="exact"/>
        <w:ind w:firstLine="640" w:firstLineChars="200"/>
        <w:jc w:val="left"/>
        <w:rPr>
          <w:rFonts w:ascii="黑体" w:hAnsi="黑体" w:eastAsia="黑体"/>
          <w:sz w:val="32"/>
          <w:szCs w:val="32"/>
        </w:rPr>
      </w:pPr>
      <w:r>
        <w:rPr>
          <w:rFonts w:hint="eastAsia" w:ascii="黑体" w:hAnsi="黑体" w:eastAsia="黑体"/>
          <w:sz w:val="32"/>
          <w:szCs w:val="32"/>
        </w:rPr>
        <w:t>七、加大推进力度，明确一个专班</w:t>
      </w:r>
    </w:p>
    <w:p>
      <w:pPr>
        <w:spacing w:line="600" w:lineRule="exact"/>
        <w:ind w:firstLine="640" w:firstLineChars="200"/>
        <w:rPr>
          <w:rFonts w:ascii="仿宋_GB2312" w:eastAsia="仿宋_GB2312"/>
          <w:sz w:val="32"/>
          <w:szCs w:val="32"/>
        </w:rPr>
      </w:pPr>
      <w:r>
        <w:rPr>
          <w:rFonts w:hint="eastAsia" w:ascii="仿宋_GB2312" w:eastAsia="仿宋_GB2312"/>
          <w:sz w:val="32"/>
          <w:szCs w:val="32"/>
        </w:rPr>
        <w:t>各街</w:t>
      </w:r>
      <w:r>
        <w:rPr>
          <w:rFonts w:hint="eastAsia" w:ascii="仿宋_GB2312" w:eastAsia="仿宋_GB2312"/>
          <w:sz w:val="32"/>
          <w:szCs w:val="32"/>
          <w:lang w:eastAsia="zh-CN"/>
        </w:rPr>
        <w:t>镇</w:t>
      </w:r>
      <w:r>
        <w:rPr>
          <w:rFonts w:ascii="仿宋_GB2312" w:eastAsia="仿宋_GB2312"/>
          <w:sz w:val="32"/>
          <w:szCs w:val="32"/>
        </w:rPr>
        <w:t>要切实担负起主体责任，成立工作推进专班，配置专职人员，明确职能职责，牵头抓好</w:t>
      </w:r>
      <w:r>
        <w:rPr>
          <w:rFonts w:hint="eastAsia" w:ascii="仿宋_GB2312" w:eastAsia="仿宋_GB2312"/>
          <w:sz w:val="32"/>
          <w:szCs w:val="32"/>
          <w:lang w:eastAsia="zh-CN"/>
        </w:rPr>
        <w:t>街镇政务公开</w:t>
      </w:r>
      <w:r>
        <w:rPr>
          <w:rFonts w:ascii="仿宋_GB2312" w:eastAsia="仿宋_GB2312"/>
          <w:sz w:val="32"/>
          <w:szCs w:val="32"/>
        </w:rPr>
        <w:t>、村（</w:t>
      </w:r>
      <w:r>
        <w:rPr>
          <w:rFonts w:hint="eastAsia" w:ascii="仿宋_GB2312" w:eastAsia="仿宋_GB2312"/>
          <w:sz w:val="32"/>
          <w:szCs w:val="32"/>
          <w:lang w:eastAsia="zh-CN"/>
        </w:rPr>
        <w:t>居</w:t>
      </w:r>
      <w:r>
        <w:rPr>
          <w:rFonts w:ascii="仿宋_GB2312" w:eastAsia="仿宋_GB2312"/>
          <w:sz w:val="32"/>
          <w:szCs w:val="32"/>
        </w:rPr>
        <w:t>）</w:t>
      </w:r>
      <w:r>
        <w:rPr>
          <w:rFonts w:hint="eastAsia" w:ascii="仿宋_GB2312" w:eastAsia="仿宋_GB2312"/>
          <w:sz w:val="32"/>
          <w:szCs w:val="32"/>
          <w:lang w:eastAsia="zh-CN"/>
        </w:rPr>
        <w:t>务公开</w:t>
      </w:r>
      <w:r>
        <w:rPr>
          <w:rFonts w:ascii="仿宋_GB2312" w:eastAsia="仿宋_GB2312"/>
          <w:sz w:val="32"/>
          <w:szCs w:val="32"/>
        </w:rPr>
        <w:t>工作;建立、完善基层政务公开工作协调联动机制，强化经费保障，把基层政务公开工作纳入重要议事内容，与其他工作同部署、同安排、同推进、同落实;制定工作落实计划安排，明确任务、细化措施、压实责任,形成工作合力。(2021年</w:t>
      </w:r>
      <w:r>
        <w:rPr>
          <w:rFonts w:hint="eastAsia" w:ascii="仿宋_GB2312" w:eastAsia="仿宋_GB2312"/>
          <w:sz w:val="32"/>
          <w:szCs w:val="32"/>
          <w:lang w:val="en-US" w:eastAsia="zh-CN"/>
        </w:rPr>
        <w:t>7</w:t>
      </w:r>
      <w:r>
        <w:rPr>
          <w:rFonts w:ascii="仿宋_GB2312" w:eastAsia="仿宋_GB2312"/>
          <w:sz w:val="32"/>
          <w:szCs w:val="32"/>
        </w:rPr>
        <w:t>月底前，完成情况报</w:t>
      </w:r>
      <w:r>
        <w:rPr>
          <w:rFonts w:hint="eastAsia" w:ascii="仿宋_GB2312" w:eastAsia="仿宋_GB2312"/>
          <w:sz w:val="32"/>
          <w:szCs w:val="32"/>
        </w:rPr>
        <w:t>区</w:t>
      </w:r>
      <w:r>
        <w:rPr>
          <w:rFonts w:ascii="仿宋_GB2312" w:eastAsia="仿宋_GB2312"/>
          <w:sz w:val="32"/>
          <w:szCs w:val="32"/>
        </w:rPr>
        <w:t>政务公开办)</w:t>
      </w:r>
    </w:p>
    <w:p>
      <w:pPr>
        <w:spacing w:line="600" w:lineRule="exact"/>
        <w:ind w:firstLine="640" w:firstLineChars="200"/>
        <w:jc w:val="left"/>
        <w:rPr>
          <w:rFonts w:ascii="仿宋_GB2312" w:eastAsia="仿宋_GB2312"/>
          <w:sz w:val="32"/>
          <w:szCs w:val="32"/>
        </w:rPr>
      </w:pPr>
    </w:p>
    <w:p>
      <w:pPr>
        <w:spacing w:line="600" w:lineRule="exact"/>
        <w:ind w:firstLine="640" w:firstLineChars="200"/>
        <w:jc w:val="left"/>
        <w:rPr>
          <w:rFonts w:ascii="仿宋_GB2312" w:eastAsia="仿宋_GB2312"/>
          <w:sz w:val="32"/>
          <w:szCs w:val="32"/>
        </w:rPr>
      </w:pPr>
      <w:r>
        <w:rPr>
          <w:rFonts w:hint="eastAsia" w:ascii="仿宋_GB2312" w:eastAsia="仿宋_GB2312"/>
          <w:sz w:val="32"/>
          <w:szCs w:val="32"/>
        </w:rPr>
        <w:t>附件</w:t>
      </w:r>
      <w:r>
        <w:rPr>
          <w:rFonts w:ascii="仿宋_GB2312" w:eastAsia="仿宋_GB2312"/>
          <w:sz w:val="32"/>
          <w:szCs w:val="32"/>
        </w:rPr>
        <w:t>:基层政务公开标准化规范化工作评估参考指标体系</w:t>
      </w:r>
    </w:p>
    <w:p>
      <w:pPr>
        <w:spacing w:line="600" w:lineRule="exact"/>
        <w:ind w:firstLine="640" w:firstLineChars="200"/>
        <w:jc w:val="left"/>
        <w:rPr>
          <w:rFonts w:hint="eastAsia" w:ascii="仿宋_GB2312" w:eastAsia="仿宋_GB2312"/>
          <w:sz w:val="32"/>
          <w:szCs w:val="32"/>
          <w:lang w:val="en-US" w:eastAsia="zh-CN"/>
        </w:rPr>
      </w:pPr>
      <w:r>
        <w:rPr>
          <w:rFonts w:hint="eastAsia" w:ascii="仿宋_GB2312" w:eastAsia="仿宋_GB2312"/>
          <w:sz w:val="32"/>
          <w:szCs w:val="32"/>
          <w:lang w:eastAsia="zh-CN"/>
        </w:rPr>
        <w:t>联系人：李晓雾，</w:t>
      </w:r>
      <w:r>
        <w:rPr>
          <w:rFonts w:hint="eastAsia" w:ascii="仿宋_GB2312" w:eastAsia="仿宋_GB2312"/>
          <w:sz w:val="32"/>
          <w:szCs w:val="32"/>
          <w:lang w:val="en-US" w:eastAsia="zh-CN"/>
        </w:rPr>
        <w:t>黄金明</w:t>
      </w:r>
    </w:p>
    <w:p>
      <w:pPr>
        <w:spacing w:line="600" w:lineRule="exact"/>
        <w:ind w:firstLine="640" w:firstLineChars="200"/>
        <w:jc w:val="left"/>
        <w:rPr>
          <w:rFonts w:hint="eastAsia" w:ascii="仿宋_GB2312" w:eastAsia="仿宋_GB2312"/>
          <w:sz w:val="32"/>
          <w:szCs w:val="32"/>
          <w:lang w:val="en-US" w:eastAsia="zh-CN"/>
        </w:rPr>
      </w:pPr>
      <w:r>
        <w:rPr>
          <w:rFonts w:hint="eastAsia" w:ascii="仿宋_GB2312" w:eastAsia="仿宋_GB2312"/>
          <w:sz w:val="32"/>
          <w:szCs w:val="32"/>
          <w:lang w:eastAsia="zh-CN"/>
        </w:rPr>
        <w:t>联系电话：</w:t>
      </w:r>
      <w:r>
        <w:rPr>
          <w:rFonts w:hint="eastAsia" w:ascii="仿宋_GB2312" w:eastAsia="仿宋_GB2312"/>
          <w:sz w:val="32"/>
          <w:szCs w:val="32"/>
          <w:lang w:val="en-US" w:eastAsia="zh-CN"/>
        </w:rPr>
        <w:t>88100650</w:t>
      </w:r>
    </w:p>
    <w:p>
      <w:pPr>
        <w:spacing w:line="600" w:lineRule="exact"/>
        <w:ind w:firstLine="640" w:firstLineChars="200"/>
        <w:jc w:val="left"/>
        <w:rPr>
          <w:rFonts w:hint="default" w:ascii="仿宋_GB2312" w:eastAsia="仿宋_GB2312"/>
          <w:sz w:val="32"/>
          <w:szCs w:val="32"/>
          <w:lang w:val="en-US" w:eastAsia="zh-CN"/>
        </w:rPr>
      </w:pPr>
      <w:r>
        <w:rPr>
          <w:rFonts w:hint="eastAsia" w:ascii="仿宋_GB2312" w:eastAsia="仿宋_GB2312"/>
          <w:sz w:val="32"/>
          <w:szCs w:val="32"/>
          <w:lang w:val="en-US" w:eastAsia="zh-CN"/>
        </w:rPr>
        <w:t xml:space="preserve">        </w:t>
      </w:r>
    </w:p>
    <w:p>
      <w:pPr>
        <w:spacing w:line="600" w:lineRule="exact"/>
        <w:ind w:firstLine="640" w:firstLineChars="200"/>
        <w:jc w:val="left"/>
        <w:rPr>
          <w:rFonts w:hint="default" w:ascii="仿宋_GB2312" w:eastAsia="仿宋_GB2312"/>
          <w:sz w:val="32"/>
          <w:szCs w:val="32"/>
          <w:lang w:val="en-US" w:eastAsia="zh-CN"/>
        </w:rPr>
      </w:pPr>
    </w:p>
    <w:p>
      <w:pPr>
        <w:spacing w:line="600" w:lineRule="exact"/>
        <w:ind w:firstLine="640" w:firstLineChars="200"/>
        <w:jc w:val="left"/>
        <w:rPr>
          <w:rFonts w:ascii="仿宋_GB2312" w:eastAsia="仿宋_GB2312"/>
          <w:sz w:val="32"/>
          <w:szCs w:val="32"/>
        </w:rPr>
      </w:pPr>
    </w:p>
    <w:p>
      <w:pPr>
        <w:spacing w:line="600" w:lineRule="exact"/>
        <w:ind w:firstLine="3520" w:firstLineChars="1100"/>
        <w:jc w:val="left"/>
        <w:rPr>
          <w:rFonts w:hint="eastAsia" w:ascii="仿宋_GB2312" w:eastAsia="仿宋_GB2312"/>
          <w:sz w:val="32"/>
          <w:szCs w:val="32"/>
          <w:lang w:eastAsia="zh-CN"/>
        </w:rPr>
      </w:pPr>
      <w:r>
        <w:rPr>
          <w:rFonts w:hint="eastAsia" w:ascii="仿宋_GB2312" w:eastAsia="仿宋_GB2312"/>
          <w:sz w:val="32"/>
          <w:szCs w:val="32"/>
          <w:lang w:eastAsia="zh-CN"/>
        </w:rPr>
        <w:t>长沙市望城区政务公开政务服务</w:t>
      </w:r>
    </w:p>
    <w:p>
      <w:pPr>
        <w:spacing w:line="600" w:lineRule="exact"/>
        <w:ind w:firstLine="4160" w:firstLineChars="1300"/>
        <w:jc w:val="left"/>
        <w:rPr>
          <w:rFonts w:hint="eastAsia" w:ascii="仿宋_GB2312" w:eastAsia="仿宋_GB2312"/>
          <w:sz w:val="32"/>
          <w:szCs w:val="32"/>
          <w:lang w:eastAsia="zh-CN"/>
        </w:rPr>
      </w:pPr>
      <w:r>
        <w:rPr>
          <w:rFonts w:hint="eastAsia" w:ascii="仿宋_GB2312" w:eastAsia="仿宋_GB2312"/>
          <w:sz w:val="32"/>
          <w:szCs w:val="32"/>
          <w:lang w:eastAsia="zh-CN"/>
        </w:rPr>
        <w:t>工作领导小组办公室</w:t>
      </w:r>
    </w:p>
    <w:p>
      <w:pPr>
        <w:spacing w:line="600" w:lineRule="exact"/>
        <w:ind w:firstLine="4160" w:firstLineChars="1300"/>
        <w:jc w:val="left"/>
        <w:rPr>
          <w:rFonts w:hint="eastAsia" w:ascii="仿宋_GB2312" w:eastAsia="仿宋_GB2312"/>
          <w:sz w:val="32"/>
          <w:szCs w:val="32"/>
          <w:lang w:eastAsia="zh-CN"/>
        </w:rPr>
      </w:pPr>
    </w:p>
    <w:p>
      <w:pPr>
        <w:spacing w:line="600" w:lineRule="exact"/>
        <w:ind w:firstLine="4480" w:firstLineChars="1400"/>
        <w:jc w:val="left"/>
        <w:rPr>
          <w:rFonts w:hint="default" w:ascii="仿宋_GB2312" w:eastAsia="仿宋_GB2312"/>
          <w:sz w:val="32"/>
          <w:szCs w:val="32"/>
          <w:lang w:val="en-US" w:eastAsia="zh-CN"/>
        </w:rPr>
      </w:pPr>
      <w:r>
        <w:rPr>
          <w:rFonts w:hint="eastAsia" w:ascii="仿宋_GB2312" w:eastAsia="仿宋_GB2312"/>
          <w:sz w:val="32"/>
          <w:szCs w:val="32"/>
          <w:lang w:val="en-US" w:eastAsia="zh-CN"/>
        </w:rPr>
        <w:t>2021年7月5日</w:t>
      </w:r>
    </w:p>
    <w:p>
      <w:pPr>
        <w:spacing w:line="600" w:lineRule="exact"/>
        <w:ind w:firstLine="640" w:firstLineChars="200"/>
        <w:jc w:val="left"/>
        <w:rPr>
          <w:rFonts w:ascii="仿宋_GB2312" w:eastAsia="仿宋_GB2312"/>
          <w:sz w:val="32"/>
          <w:szCs w:val="32"/>
        </w:rPr>
      </w:pPr>
    </w:p>
    <w:p>
      <w:pPr>
        <w:spacing w:line="600" w:lineRule="exact"/>
        <w:ind w:firstLine="640" w:firstLineChars="200"/>
        <w:jc w:val="left"/>
        <w:rPr>
          <w:rFonts w:ascii="仿宋_GB2312" w:eastAsia="仿宋_GB2312"/>
          <w:sz w:val="32"/>
          <w:szCs w:val="32"/>
        </w:rPr>
      </w:pPr>
    </w:p>
    <w:p>
      <w:pPr>
        <w:spacing w:line="600" w:lineRule="exact"/>
        <w:rPr>
          <w:rFonts w:hint="eastAsia" w:ascii="黑体" w:hAnsi="黑体" w:eastAsia="黑体"/>
          <w:sz w:val="32"/>
          <w:szCs w:val="32"/>
        </w:rPr>
      </w:pPr>
    </w:p>
    <w:p>
      <w:pPr>
        <w:spacing w:line="600" w:lineRule="exact"/>
        <w:rPr>
          <w:rFonts w:hint="eastAsia" w:ascii="黑体" w:hAnsi="黑体" w:eastAsia="黑体"/>
          <w:sz w:val="32"/>
          <w:szCs w:val="32"/>
        </w:rPr>
      </w:pPr>
    </w:p>
    <w:p>
      <w:pPr>
        <w:spacing w:line="600" w:lineRule="exact"/>
        <w:rPr>
          <w:rFonts w:hint="eastAsia" w:ascii="黑体" w:hAnsi="黑体" w:eastAsia="黑体"/>
          <w:sz w:val="32"/>
          <w:szCs w:val="32"/>
        </w:rPr>
      </w:pPr>
    </w:p>
    <w:p>
      <w:pPr>
        <w:spacing w:line="600" w:lineRule="exact"/>
        <w:rPr>
          <w:rFonts w:hint="eastAsia" w:ascii="黑体" w:hAnsi="黑体" w:eastAsia="黑体"/>
          <w:sz w:val="32"/>
          <w:szCs w:val="32"/>
        </w:rPr>
      </w:pPr>
    </w:p>
    <w:p>
      <w:pPr>
        <w:spacing w:line="600" w:lineRule="exact"/>
        <w:rPr>
          <w:rFonts w:hint="eastAsia" w:ascii="黑体" w:hAnsi="黑体" w:eastAsia="黑体"/>
          <w:sz w:val="32"/>
          <w:szCs w:val="32"/>
        </w:rPr>
      </w:pPr>
    </w:p>
    <w:p>
      <w:pPr>
        <w:spacing w:line="600" w:lineRule="exact"/>
        <w:rPr>
          <w:rFonts w:hint="eastAsia" w:ascii="黑体" w:hAnsi="黑体" w:eastAsia="黑体"/>
          <w:sz w:val="32"/>
          <w:szCs w:val="32"/>
        </w:rPr>
      </w:pPr>
    </w:p>
    <w:p>
      <w:pPr>
        <w:spacing w:line="600" w:lineRule="exact"/>
        <w:rPr>
          <w:rFonts w:hint="eastAsia" w:ascii="黑体" w:hAnsi="黑体" w:eastAsia="黑体"/>
          <w:sz w:val="32"/>
          <w:szCs w:val="32"/>
        </w:rPr>
      </w:pPr>
    </w:p>
    <w:p>
      <w:pPr>
        <w:spacing w:line="600" w:lineRule="exact"/>
        <w:rPr>
          <w:rFonts w:hint="eastAsia" w:ascii="黑体" w:hAnsi="黑体" w:eastAsia="黑体"/>
          <w:sz w:val="32"/>
          <w:szCs w:val="32"/>
        </w:rPr>
      </w:pPr>
    </w:p>
    <w:p>
      <w:pPr>
        <w:spacing w:line="600" w:lineRule="exact"/>
        <w:rPr>
          <w:rFonts w:ascii="黑体" w:hAnsi="黑体" w:eastAsia="黑体"/>
          <w:sz w:val="32"/>
          <w:szCs w:val="32"/>
        </w:rPr>
      </w:pPr>
      <w:r>
        <w:rPr>
          <w:rFonts w:hint="eastAsia" w:ascii="黑体" w:hAnsi="黑体" w:eastAsia="黑体"/>
          <w:sz w:val="32"/>
          <w:szCs w:val="32"/>
        </w:rPr>
        <w:t>附件：</w:t>
      </w:r>
    </w:p>
    <w:p>
      <w:pPr>
        <w:spacing w:line="600" w:lineRule="exact"/>
        <w:rPr>
          <w:rFonts w:hint="eastAsia" w:ascii="仿宋_GB2312" w:eastAsia="仿宋_GB2312"/>
          <w:sz w:val="32"/>
          <w:szCs w:val="32"/>
        </w:rPr>
      </w:pPr>
    </w:p>
    <w:p>
      <w:pPr>
        <w:spacing w:line="600" w:lineRule="exact"/>
        <w:jc w:val="center"/>
        <w:rPr>
          <w:rFonts w:hint="eastAsia" w:ascii="方正小标宋简体" w:eastAsia="方正小标宋简体"/>
          <w:sz w:val="44"/>
          <w:szCs w:val="44"/>
        </w:rPr>
      </w:pPr>
      <w:r>
        <w:rPr>
          <w:rFonts w:hint="eastAsia" w:ascii="方正小标宋简体" w:eastAsia="方正小标宋简体"/>
          <w:sz w:val="44"/>
          <w:szCs w:val="44"/>
        </w:rPr>
        <w:t>基层政务公开标准化规范化工作评估参考</w:t>
      </w:r>
    </w:p>
    <w:p>
      <w:pPr>
        <w:spacing w:line="600" w:lineRule="exact"/>
        <w:jc w:val="center"/>
        <w:rPr>
          <w:rFonts w:ascii="方正小标宋简体" w:eastAsia="方正小标宋简体"/>
          <w:sz w:val="44"/>
          <w:szCs w:val="44"/>
        </w:rPr>
      </w:pPr>
      <w:r>
        <w:rPr>
          <w:rFonts w:hint="eastAsia" w:ascii="方正小标宋简体" w:eastAsia="方正小标宋简体"/>
          <w:sz w:val="44"/>
          <w:szCs w:val="44"/>
        </w:rPr>
        <w:t>指标体系</w:t>
      </w:r>
    </w:p>
    <w:tbl>
      <w:tblPr>
        <w:tblStyle w:val="5"/>
        <w:tblW w:w="9781" w:type="dxa"/>
        <w:tblInd w:w="-572"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276"/>
        <w:gridCol w:w="1276"/>
        <w:gridCol w:w="5103"/>
        <w:gridCol w:w="1417"/>
        <w:gridCol w:w="70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76" w:type="dxa"/>
            <w:vAlign w:val="center"/>
          </w:tcPr>
          <w:p>
            <w:pPr>
              <w:spacing w:line="600" w:lineRule="exact"/>
              <w:jc w:val="center"/>
              <w:rPr>
                <w:rFonts w:hint="eastAsia" w:ascii="楷体_GB2312" w:hAnsi="楷体" w:eastAsia="楷体_GB2312"/>
                <w:b/>
                <w:bCs/>
                <w:sz w:val="24"/>
                <w:szCs w:val="24"/>
              </w:rPr>
            </w:pPr>
            <w:r>
              <w:rPr>
                <w:rFonts w:hint="eastAsia" w:ascii="楷体_GB2312" w:hAnsi="楷体" w:eastAsia="楷体_GB2312"/>
                <w:b/>
                <w:bCs/>
                <w:sz w:val="24"/>
                <w:szCs w:val="24"/>
              </w:rPr>
              <w:t>一级指标</w:t>
            </w:r>
          </w:p>
        </w:tc>
        <w:tc>
          <w:tcPr>
            <w:tcW w:w="1276" w:type="dxa"/>
            <w:vAlign w:val="center"/>
          </w:tcPr>
          <w:p>
            <w:pPr>
              <w:spacing w:line="600" w:lineRule="exact"/>
              <w:jc w:val="center"/>
              <w:rPr>
                <w:rFonts w:hint="eastAsia" w:ascii="楷体_GB2312" w:hAnsi="楷体" w:eastAsia="楷体_GB2312"/>
                <w:b/>
                <w:bCs/>
                <w:sz w:val="24"/>
                <w:szCs w:val="24"/>
              </w:rPr>
            </w:pPr>
            <w:r>
              <w:rPr>
                <w:rFonts w:hint="eastAsia" w:ascii="楷体_GB2312" w:hAnsi="楷体" w:eastAsia="楷体_GB2312"/>
                <w:b/>
                <w:bCs/>
                <w:sz w:val="24"/>
                <w:szCs w:val="24"/>
              </w:rPr>
              <w:t>二级指标</w:t>
            </w:r>
          </w:p>
        </w:tc>
        <w:tc>
          <w:tcPr>
            <w:tcW w:w="5103" w:type="dxa"/>
            <w:vAlign w:val="center"/>
          </w:tcPr>
          <w:p>
            <w:pPr>
              <w:spacing w:line="600" w:lineRule="exact"/>
              <w:jc w:val="center"/>
              <w:rPr>
                <w:rFonts w:hint="eastAsia" w:ascii="楷体_GB2312" w:hAnsi="楷体" w:eastAsia="楷体_GB2312"/>
                <w:b/>
                <w:bCs/>
                <w:sz w:val="24"/>
                <w:szCs w:val="24"/>
              </w:rPr>
            </w:pPr>
            <w:r>
              <w:rPr>
                <w:rFonts w:hint="eastAsia" w:ascii="楷体_GB2312" w:hAnsi="楷体" w:eastAsia="楷体_GB2312"/>
                <w:b/>
                <w:bCs/>
                <w:sz w:val="24"/>
                <w:szCs w:val="24"/>
              </w:rPr>
              <w:t>三级指标</w:t>
            </w:r>
          </w:p>
        </w:tc>
        <w:tc>
          <w:tcPr>
            <w:tcW w:w="1417" w:type="dxa"/>
            <w:vAlign w:val="center"/>
          </w:tcPr>
          <w:p>
            <w:pPr>
              <w:spacing w:line="600" w:lineRule="exact"/>
              <w:jc w:val="center"/>
              <w:rPr>
                <w:rFonts w:hint="eastAsia" w:ascii="楷体_GB2312" w:hAnsi="楷体" w:eastAsia="楷体_GB2312"/>
                <w:b/>
                <w:bCs/>
                <w:sz w:val="24"/>
                <w:szCs w:val="24"/>
              </w:rPr>
            </w:pPr>
            <w:r>
              <w:rPr>
                <w:rFonts w:hint="eastAsia" w:ascii="楷体_GB2312" w:hAnsi="楷体" w:eastAsia="楷体_GB2312"/>
                <w:b/>
                <w:bCs/>
                <w:sz w:val="24"/>
                <w:szCs w:val="24"/>
              </w:rPr>
              <w:t>评估方式</w:t>
            </w:r>
          </w:p>
        </w:tc>
        <w:tc>
          <w:tcPr>
            <w:tcW w:w="709" w:type="dxa"/>
            <w:vAlign w:val="center"/>
          </w:tcPr>
          <w:p>
            <w:pPr>
              <w:spacing w:line="600" w:lineRule="exact"/>
              <w:jc w:val="center"/>
              <w:rPr>
                <w:rFonts w:hint="eastAsia" w:ascii="楷体_GB2312" w:hAnsi="楷体" w:eastAsia="楷体_GB2312"/>
                <w:b/>
                <w:bCs/>
                <w:sz w:val="24"/>
                <w:szCs w:val="24"/>
              </w:rPr>
            </w:pPr>
            <w:r>
              <w:rPr>
                <w:rFonts w:hint="eastAsia" w:ascii="楷体_GB2312" w:hAnsi="楷体" w:eastAsia="楷体_GB2312"/>
                <w:b/>
                <w:bCs/>
                <w:sz w:val="24"/>
                <w:szCs w:val="24"/>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40" w:hRule="atLeast"/>
        </w:trPr>
        <w:tc>
          <w:tcPr>
            <w:tcW w:w="1276" w:type="dxa"/>
            <w:vMerge w:val="restart"/>
            <w:vAlign w:val="center"/>
          </w:tcPr>
          <w:p>
            <w:pPr>
              <w:spacing w:line="360" w:lineRule="exact"/>
              <w:jc w:val="center"/>
              <w:rPr>
                <w:rFonts w:ascii="仿宋_GB2312" w:eastAsia="仿宋_GB2312"/>
                <w:sz w:val="24"/>
                <w:szCs w:val="24"/>
              </w:rPr>
            </w:pPr>
            <w:r>
              <w:rPr>
                <w:rFonts w:hint="eastAsia" w:ascii="仿宋_GB2312" w:eastAsia="仿宋_GB2312"/>
                <w:sz w:val="24"/>
                <w:szCs w:val="24"/>
              </w:rPr>
              <w:t>工作组织</w:t>
            </w:r>
          </w:p>
          <w:p>
            <w:pPr>
              <w:spacing w:line="360" w:lineRule="exact"/>
              <w:jc w:val="center"/>
              <w:rPr>
                <w:rFonts w:hint="eastAsia" w:ascii="仿宋_GB2312" w:eastAsia="仿宋_GB2312"/>
                <w:sz w:val="24"/>
                <w:szCs w:val="24"/>
              </w:rPr>
            </w:pPr>
            <w:r>
              <w:rPr>
                <w:rFonts w:hint="eastAsia" w:ascii="仿宋_GB2312" w:eastAsia="仿宋_GB2312"/>
                <w:sz w:val="24"/>
                <w:szCs w:val="24"/>
              </w:rPr>
              <w:t>与推进</w:t>
            </w:r>
          </w:p>
        </w:tc>
        <w:tc>
          <w:tcPr>
            <w:tcW w:w="1276" w:type="dxa"/>
            <w:vMerge w:val="restart"/>
            <w:vAlign w:val="center"/>
          </w:tcPr>
          <w:p>
            <w:pPr>
              <w:spacing w:line="360" w:lineRule="exact"/>
              <w:jc w:val="center"/>
              <w:rPr>
                <w:rFonts w:hint="eastAsia" w:ascii="仿宋_GB2312" w:eastAsia="仿宋_GB2312"/>
                <w:sz w:val="24"/>
                <w:szCs w:val="24"/>
              </w:rPr>
            </w:pPr>
            <w:r>
              <w:rPr>
                <w:rFonts w:hint="eastAsia" w:ascii="仿宋_GB2312" w:eastAsia="仿宋_GB2312"/>
                <w:sz w:val="24"/>
                <w:szCs w:val="24"/>
              </w:rPr>
              <w:t>部署推进</w:t>
            </w:r>
          </w:p>
        </w:tc>
        <w:tc>
          <w:tcPr>
            <w:tcW w:w="5103" w:type="dxa"/>
            <w:vAlign w:val="center"/>
          </w:tcPr>
          <w:p>
            <w:pPr>
              <w:spacing w:line="360" w:lineRule="exact"/>
              <w:rPr>
                <w:rFonts w:hint="eastAsia" w:ascii="仿宋_GB2312" w:eastAsia="仿宋_GB2312"/>
                <w:sz w:val="24"/>
                <w:szCs w:val="24"/>
              </w:rPr>
            </w:pPr>
            <w:r>
              <w:rPr>
                <w:rFonts w:hint="eastAsia" w:ascii="仿宋_GB2312" w:eastAsia="仿宋_GB2312"/>
                <w:sz w:val="24"/>
                <w:szCs w:val="24"/>
              </w:rPr>
              <w:t>列入单位领导职责，明确专门工作机构，配备专门工作人员及经费。</w:t>
            </w:r>
          </w:p>
        </w:tc>
        <w:tc>
          <w:tcPr>
            <w:tcW w:w="1417" w:type="dxa"/>
            <w:vAlign w:val="center"/>
          </w:tcPr>
          <w:p>
            <w:pPr>
              <w:spacing w:line="360" w:lineRule="exact"/>
              <w:jc w:val="center"/>
              <w:rPr>
                <w:rFonts w:hint="eastAsia" w:ascii="仿宋_GB2312" w:eastAsia="仿宋_GB2312"/>
                <w:sz w:val="24"/>
                <w:szCs w:val="24"/>
              </w:rPr>
            </w:pPr>
            <w:r>
              <w:rPr>
                <w:rFonts w:hint="eastAsia" w:ascii="仿宋_GB2312" w:eastAsia="仿宋_GB2312"/>
                <w:sz w:val="24"/>
                <w:szCs w:val="24"/>
              </w:rPr>
              <w:t>线下评估/线上评估</w:t>
            </w:r>
          </w:p>
        </w:tc>
        <w:tc>
          <w:tcPr>
            <w:tcW w:w="709" w:type="dxa"/>
          </w:tcPr>
          <w:p>
            <w:pPr>
              <w:spacing w:line="360" w:lineRule="exact"/>
              <w:jc w:val="center"/>
              <w:rPr>
                <w:rFonts w:hint="eastAsia" w:ascii="仿宋_GB2312" w:eastAsia="仿宋_GB2312"/>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4" w:hRule="atLeast"/>
        </w:trPr>
        <w:tc>
          <w:tcPr>
            <w:tcW w:w="1276" w:type="dxa"/>
            <w:vMerge w:val="continue"/>
            <w:vAlign w:val="center"/>
          </w:tcPr>
          <w:p>
            <w:pPr>
              <w:spacing w:line="360" w:lineRule="exact"/>
              <w:jc w:val="center"/>
              <w:rPr>
                <w:rFonts w:hint="eastAsia" w:ascii="仿宋_GB2312" w:eastAsia="仿宋_GB2312"/>
                <w:sz w:val="24"/>
                <w:szCs w:val="24"/>
              </w:rPr>
            </w:pPr>
          </w:p>
        </w:tc>
        <w:tc>
          <w:tcPr>
            <w:tcW w:w="1276" w:type="dxa"/>
            <w:vMerge w:val="continue"/>
            <w:vAlign w:val="center"/>
          </w:tcPr>
          <w:p>
            <w:pPr>
              <w:spacing w:line="360" w:lineRule="exact"/>
              <w:jc w:val="center"/>
              <w:rPr>
                <w:rFonts w:hint="eastAsia" w:ascii="仿宋_GB2312" w:eastAsia="仿宋_GB2312"/>
                <w:sz w:val="24"/>
                <w:szCs w:val="24"/>
              </w:rPr>
            </w:pPr>
          </w:p>
        </w:tc>
        <w:tc>
          <w:tcPr>
            <w:tcW w:w="5103" w:type="dxa"/>
            <w:vAlign w:val="center"/>
          </w:tcPr>
          <w:p>
            <w:pPr>
              <w:spacing w:line="360" w:lineRule="exact"/>
              <w:rPr>
                <w:rFonts w:hint="eastAsia" w:ascii="仿宋_GB2312" w:eastAsia="仿宋_GB2312"/>
                <w:sz w:val="24"/>
                <w:szCs w:val="24"/>
              </w:rPr>
            </w:pPr>
            <w:r>
              <w:rPr>
                <w:rFonts w:hint="eastAsia" w:ascii="仿宋_GB2312" w:eastAsia="仿宋_GB2312"/>
                <w:sz w:val="24"/>
                <w:szCs w:val="24"/>
              </w:rPr>
              <w:t>组织开展基层政务公开业务培训不少于</w:t>
            </w:r>
            <w:r>
              <w:rPr>
                <w:rFonts w:ascii="仿宋_GB2312" w:eastAsia="仿宋_GB2312"/>
                <w:sz w:val="24"/>
                <w:szCs w:val="24"/>
              </w:rPr>
              <w:t>2次。</w:t>
            </w:r>
          </w:p>
        </w:tc>
        <w:tc>
          <w:tcPr>
            <w:tcW w:w="1417" w:type="dxa"/>
            <w:vAlign w:val="center"/>
          </w:tcPr>
          <w:p>
            <w:pPr>
              <w:spacing w:line="360" w:lineRule="exact"/>
              <w:jc w:val="center"/>
              <w:rPr>
                <w:rFonts w:hint="eastAsia" w:ascii="仿宋_GB2312" w:eastAsia="仿宋_GB2312"/>
                <w:sz w:val="24"/>
                <w:szCs w:val="24"/>
              </w:rPr>
            </w:pPr>
            <w:r>
              <w:rPr>
                <w:rFonts w:hint="eastAsia" w:ascii="仿宋_GB2312" w:eastAsia="仿宋_GB2312"/>
                <w:sz w:val="24"/>
                <w:szCs w:val="24"/>
              </w:rPr>
              <w:t>线下评估</w:t>
            </w:r>
          </w:p>
        </w:tc>
        <w:tc>
          <w:tcPr>
            <w:tcW w:w="709" w:type="dxa"/>
          </w:tcPr>
          <w:p>
            <w:pPr>
              <w:spacing w:line="360" w:lineRule="exact"/>
              <w:jc w:val="center"/>
              <w:rPr>
                <w:rFonts w:hint="eastAsia" w:ascii="仿宋_GB2312" w:eastAsia="仿宋_GB2312"/>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78" w:hRule="atLeast"/>
        </w:trPr>
        <w:tc>
          <w:tcPr>
            <w:tcW w:w="1276" w:type="dxa"/>
            <w:vMerge w:val="continue"/>
            <w:vAlign w:val="center"/>
          </w:tcPr>
          <w:p>
            <w:pPr>
              <w:spacing w:line="360" w:lineRule="exact"/>
              <w:jc w:val="center"/>
              <w:rPr>
                <w:rFonts w:hint="eastAsia" w:ascii="仿宋_GB2312" w:eastAsia="仿宋_GB2312"/>
                <w:sz w:val="24"/>
                <w:szCs w:val="24"/>
              </w:rPr>
            </w:pPr>
          </w:p>
        </w:tc>
        <w:tc>
          <w:tcPr>
            <w:tcW w:w="1276" w:type="dxa"/>
            <w:vMerge w:val="continue"/>
            <w:vAlign w:val="center"/>
          </w:tcPr>
          <w:p>
            <w:pPr>
              <w:spacing w:line="360" w:lineRule="exact"/>
              <w:jc w:val="center"/>
              <w:rPr>
                <w:rFonts w:hint="eastAsia" w:ascii="仿宋_GB2312" w:eastAsia="仿宋_GB2312"/>
                <w:sz w:val="24"/>
                <w:szCs w:val="24"/>
              </w:rPr>
            </w:pPr>
          </w:p>
        </w:tc>
        <w:tc>
          <w:tcPr>
            <w:tcW w:w="5103" w:type="dxa"/>
            <w:vAlign w:val="center"/>
          </w:tcPr>
          <w:p>
            <w:pPr>
              <w:spacing w:line="360" w:lineRule="exact"/>
              <w:rPr>
                <w:rFonts w:hint="eastAsia" w:ascii="仿宋_GB2312" w:eastAsia="仿宋_GB2312"/>
                <w:sz w:val="24"/>
                <w:szCs w:val="24"/>
              </w:rPr>
            </w:pPr>
            <w:r>
              <w:rPr>
                <w:rFonts w:hint="eastAsia" w:ascii="仿宋_GB2312" w:eastAsia="仿宋_GB2312"/>
                <w:sz w:val="24"/>
                <w:szCs w:val="24"/>
              </w:rPr>
              <w:t>指导乡镇</w:t>
            </w:r>
            <w:r>
              <w:rPr>
                <w:rFonts w:ascii="仿宋_GB2312" w:eastAsia="仿宋_GB2312"/>
                <w:sz w:val="24"/>
                <w:szCs w:val="24"/>
              </w:rPr>
              <w:t>(街道)、村(社区)开展基层政务公开</w:t>
            </w:r>
            <w:r>
              <w:rPr>
                <w:rFonts w:hint="eastAsia" w:ascii="仿宋_GB2312" w:eastAsia="仿宋_GB2312"/>
                <w:sz w:val="24"/>
                <w:szCs w:val="24"/>
              </w:rPr>
              <w:t>工作。</w:t>
            </w:r>
          </w:p>
        </w:tc>
        <w:tc>
          <w:tcPr>
            <w:tcW w:w="1417" w:type="dxa"/>
            <w:vAlign w:val="center"/>
          </w:tcPr>
          <w:p>
            <w:pPr>
              <w:spacing w:line="360" w:lineRule="exact"/>
              <w:jc w:val="center"/>
              <w:rPr>
                <w:rFonts w:hint="eastAsia" w:ascii="仿宋_GB2312" w:eastAsia="仿宋_GB2312"/>
                <w:sz w:val="24"/>
                <w:szCs w:val="24"/>
              </w:rPr>
            </w:pPr>
            <w:r>
              <w:rPr>
                <w:rFonts w:hint="eastAsia" w:ascii="仿宋_GB2312" w:eastAsia="仿宋_GB2312"/>
                <w:sz w:val="24"/>
                <w:szCs w:val="24"/>
              </w:rPr>
              <w:t>线下评估</w:t>
            </w:r>
          </w:p>
        </w:tc>
        <w:tc>
          <w:tcPr>
            <w:tcW w:w="709" w:type="dxa"/>
          </w:tcPr>
          <w:p>
            <w:pPr>
              <w:spacing w:line="360" w:lineRule="exact"/>
              <w:jc w:val="center"/>
              <w:rPr>
                <w:rFonts w:hint="eastAsia" w:ascii="仿宋_GB2312" w:eastAsia="仿宋_GB2312"/>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76" w:type="dxa"/>
            <w:vMerge w:val="continue"/>
            <w:vAlign w:val="center"/>
          </w:tcPr>
          <w:p>
            <w:pPr>
              <w:spacing w:line="360" w:lineRule="exact"/>
              <w:jc w:val="center"/>
              <w:rPr>
                <w:rFonts w:hint="eastAsia" w:ascii="仿宋_GB2312" w:eastAsia="仿宋_GB2312"/>
                <w:sz w:val="24"/>
                <w:szCs w:val="24"/>
              </w:rPr>
            </w:pPr>
          </w:p>
        </w:tc>
        <w:tc>
          <w:tcPr>
            <w:tcW w:w="1276" w:type="dxa"/>
            <w:vAlign w:val="center"/>
          </w:tcPr>
          <w:p>
            <w:pPr>
              <w:spacing w:line="360" w:lineRule="exact"/>
              <w:jc w:val="center"/>
              <w:rPr>
                <w:rFonts w:hint="eastAsia" w:ascii="仿宋_GB2312" w:eastAsia="仿宋_GB2312"/>
                <w:sz w:val="24"/>
                <w:szCs w:val="24"/>
              </w:rPr>
            </w:pPr>
            <w:r>
              <w:rPr>
                <w:rFonts w:hint="eastAsia" w:ascii="仿宋_GB2312" w:eastAsia="仿宋_GB2312"/>
                <w:sz w:val="24"/>
                <w:szCs w:val="24"/>
              </w:rPr>
              <w:t>推进方案</w:t>
            </w:r>
          </w:p>
        </w:tc>
        <w:tc>
          <w:tcPr>
            <w:tcW w:w="5103" w:type="dxa"/>
          </w:tcPr>
          <w:p>
            <w:pPr>
              <w:spacing w:line="360" w:lineRule="exact"/>
              <w:rPr>
                <w:rFonts w:hint="eastAsia" w:ascii="仿宋_GB2312" w:eastAsia="仿宋_GB2312"/>
                <w:sz w:val="24"/>
                <w:szCs w:val="24"/>
              </w:rPr>
            </w:pPr>
            <w:r>
              <w:rPr>
                <w:rFonts w:hint="eastAsia" w:ascii="仿宋_GB2312" w:eastAsia="仿宋_GB2312"/>
                <w:sz w:val="24"/>
                <w:szCs w:val="24"/>
              </w:rPr>
              <w:t>制定并在本级政务公开专栏上公开工作推进方案或要点、细则等指导性文件，明确责任分工和工作进度，并确保各项工作任务按节点时限要求保质保量</w:t>
            </w:r>
            <w:r>
              <w:rPr>
                <w:rFonts w:ascii="仿宋_GB2312" w:eastAsia="仿宋_GB2312"/>
                <w:sz w:val="24"/>
                <w:szCs w:val="24"/>
              </w:rPr>
              <w:t>完成。</w:t>
            </w:r>
          </w:p>
        </w:tc>
        <w:tc>
          <w:tcPr>
            <w:tcW w:w="1417" w:type="dxa"/>
            <w:vAlign w:val="center"/>
          </w:tcPr>
          <w:p>
            <w:pPr>
              <w:spacing w:line="360" w:lineRule="exact"/>
              <w:jc w:val="center"/>
              <w:rPr>
                <w:rFonts w:hint="eastAsia" w:ascii="仿宋_GB2312" w:eastAsia="仿宋_GB2312"/>
                <w:sz w:val="24"/>
                <w:szCs w:val="24"/>
              </w:rPr>
            </w:pPr>
            <w:r>
              <w:rPr>
                <w:rFonts w:hint="eastAsia" w:ascii="仿宋_GB2312" w:eastAsia="仿宋_GB2312"/>
                <w:sz w:val="24"/>
                <w:szCs w:val="24"/>
              </w:rPr>
              <w:t>线上评估</w:t>
            </w:r>
          </w:p>
        </w:tc>
        <w:tc>
          <w:tcPr>
            <w:tcW w:w="709" w:type="dxa"/>
          </w:tcPr>
          <w:p>
            <w:pPr>
              <w:spacing w:line="360" w:lineRule="exact"/>
              <w:jc w:val="center"/>
              <w:rPr>
                <w:rFonts w:hint="eastAsia" w:ascii="仿宋_GB2312" w:eastAsia="仿宋_GB2312"/>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76" w:hRule="atLeast"/>
        </w:trPr>
        <w:tc>
          <w:tcPr>
            <w:tcW w:w="1276" w:type="dxa"/>
            <w:vMerge w:val="restart"/>
            <w:vAlign w:val="center"/>
          </w:tcPr>
          <w:p>
            <w:pPr>
              <w:spacing w:line="360" w:lineRule="exact"/>
              <w:jc w:val="center"/>
              <w:rPr>
                <w:rFonts w:hint="eastAsia" w:ascii="仿宋_GB2312" w:eastAsia="仿宋_GB2312"/>
                <w:sz w:val="24"/>
                <w:szCs w:val="24"/>
              </w:rPr>
            </w:pPr>
            <w:r>
              <w:rPr>
                <w:rFonts w:hint="eastAsia" w:ascii="仿宋_GB2312" w:eastAsia="仿宋_GB2312"/>
                <w:sz w:val="24"/>
                <w:szCs w:val="24"/>
              </w:rPr>
              <w:t>公开内容</w:t>
            </w:r>
          </w:p>
        </w:tc>
        <w:tc>
          <w:tcPr>
            <w:tcW w:w="1276" w:type="dxa"/>
            <w:vMerge w:val="restart"/>
            <w:vAlign w:val="center"/>
          </w:tcPr>
          <w:p>
            <w:pPr>
              <w:spacing w:line="360" w:lineRule="exact"/>
              <w:jc w:val="center"/>
              <w:rPr>
                <w:rFonts w:hint="eastAsia" w:ascii="仿宋_GB2312" w:eastAsia="仿宋_GB2312"/>
                <w:sz w:val="24"/>
                <w:szCs w:val="24"/>
              </w:rPr>
            </w:pPr>
            <w:r>
              <w:rPr>
                <w:rFonts w:hint="eastAsia" w:ascii="仿宋_GB2312" w:eastAsia="仿宋_GB2312"/>
                <w:sz w:val="24"/>
                <w:szCs w:val="24"/>
              </w:rPr>
              <w:t>目录梳理与公开</w:t>
            </w:r>
          </w:p>
        </w:tc>
        <w:tc>
          <w:tcPr>
            <w:tcW w:w="5103" w:type="dxa"/>
            <w:vAlign w:val="center"/>
          </w:tcPr>
          <w:p>
            <w:pPr>
              <w:spacing w:line="360" w:lineRule="exact"/>
              <w:rPr>
                <w:rFonts w:hint="eastAsia" w:ascii="仿宋_GB2312" w:eastAsia="仿宋_GB2312"/>
                <w:sz w:val="24"/>
                <w:szCs w:val="24"/>
              </w:rPr>
            </w:pPr>
            <w:r>
              <w:rPr>
                <w:rFonts w:hint="eastAsia" w:ascii="仿宋_GB2312" w:eastAsia="仿宋_GB2312"/>
                <w:sz w:val="24"/>
                <w:szCs w:val="24"/>
              </w:rPr>
              <w:t>按照“应公开尽公开”原则和上级标准要求</w:t>
            </w:r>
            <w:r>
              <w:rPr>
                <w:rFonts w:ascii="仿宋_GB2312" w:eastAsia="仿宋_GB2312"/>
                <w:sz w:val="24"/>
                <w:szCs w:val="24"/>
              </w:rPr>
              <w:t>(26个</w:t>
            </w:r>
            <w:r>
              <w:rPr>
                <w:rFonts w:hint="eastAsia" w:ascii="仿宋_GB2312" w:eastAsia="仿宋_GB2312"/>
                <w:sz w:val="24"/>
                <w:szCs w:val="24"/>
              </w:rPr>
              <w:t>领域基层政务公开事项目录</w:t>
            </w:r>
            <w:r>
              <w:rPr>
                <w:rFonts w:ascii="仿宋_GB2312" w:eastAsia="仿宋_GB2312"/>
                <w:sz w:val="24"/>
                <w:szCs w:val="24"/>
              </w:rPr>
              <w:t>)，升级2020版政务公</w:t>
            </w:r>
            <w:r>
              <w:rPr>
                <w:rFonts w:hint="eastAsia" w:ascii="仿宋_GB2312" w:eastAsia="仿宋_GB2312"/>
                <w:sz w:val="24"/>
                <w:szCs w:val="24"/>
              </w:rPr>
              <w:t>开事项目录，并进行全面、深入梳理，细化至三级事项，形成本级</w:t>
            </w:r>
            <w:r>
              <w:rPr>
                <w:rFonts w:ascii="仿宋_GB2312" w:eastAsia="仿宋_GB2312"/>
                <w:sz w:val="24"/>
                <w:szCs w:val="24"/>
              </w:rPr>
              <w:t>2021版政务公开标准目录，经过内</w:t>
            </w:r>
            <w:r>
              <w:rPr>
                <w:rFonts w:hint="eastAsia" w:ascii="仿宋_GB2312" w:eastAsia="仿宋_GB2312"/>
                <w:sz w:val="24"/>
                <w:szCs w:val="24"/>
              </w:rPr>
              <w:t>部审核、批准发布。</w:t>
            </w:r>
          </w:p>
        </w:tc>
        <w:tc>
          <w:tcPr>
            <w:tcW w:w="1417" w:type="dxa"/>
            <w:vAlign w:val="center"/>
          </w:tcPr>
          <w:p>
            <w:pPr>
              <w:spacing w:line="360" w:lineRule="exact"/>
              <w:jc w:val="center"/>
              <w:rPr>
                <w:rFonts w:hint="eastAsia" w:ascii="仿宋_GB2312" w:eastAsia="仿宋_GB2312"/>
                <w:sz w:val="24"/>
                <w:szCs w:val="24"/>
              </w:rPr>
            </w:pPr>
            <w:r>
              <w:rPr>
                <w:rFonts w:hint="eastAsia" w:ascii="仿宋_GB2312" w:eastAsia="仿宋_GB2312"/>
                <w:sz w:val="24"/>
                <w:szCs w:val="24"/>
              </w:rPr>
              <w:t>线下评估/线上评估</w:t>
            </w:r>
          </w:p>
        </w:tc>
        <w:tc>
          <w:tcPr>
            <w:tcW w:w="709" w:type="dxa"/>
          </w:tcPr>
          <w:p>
            <w:pPr>
              <w:spacing w:line="360" w:lineRule="exact"/>
              <w:jc w:val="center"/>
              <w:rPr>
                <w:rFonts w:hint="eastAsia" w:ascii="仿宋_GB2312" w:eastAsia="仿宋_GB2312"/>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78" w:hRule="atLeast"/>
        </w:trPr>
        <w:tc>
          <w:tcPr>
            <w:tcW w:w="1276" w:type="dxa"/>
            <w:vMerge w:val="continue"/>
          </w:tcPr>
          <w:p>
            <w:pPr>
              <w:spacing w:line="360" w:lineRule="exact"/>
              <w:jc w:val="center"/>
              <w:rPr>
                <w:rFonts w:hint="eastAsia" w:ascii="仿宋_GB2312" w:eastAsia="仿宋_GB2312"/>
                <w:sz w:val="24"/>
                <w:szCs w:val="24"/>
              </w:rPr>
            </w:pPr>
          </w:p>
        </w:tc>
        <w:tc>
          <w:tcPr>
            <w:tcW w:w="1276" w:type="dxa"/>
            <w:vMerge w:val="continue"/>
            <w:vAlign w:val="center"/>
          </w:tcPr>
          <w:p>
            <w:pPr>
              <w:spacing w:line="360" w:lineRule="exact"/>
              <w:jc w:val="center"/>
              <w:rPr>
                <w:rFonts w:hint="eastAsia" w:ascii="仿宋_GB2312" w:eastAsia="仿宋_GB2312"/>
                <w:sz w:val="24"/>
                <w:szCs w:val="24"/>
              </w:rPr>
            </w:pPr>
          </w:p>
        </w:tc>
        <w:tc>
          <w:tcPr>
            <w:tcW w:w="5103" w:type="dxa"/>
            <w:vAlign w:val="center"/>
          </w:tcPr>
          <w:p>
            <w:pPr>
              <w:spacing w:line="360" w:lineRule="exact"/>
              <w:rPr>
                <w:rFonts w:hint="eastAsia" w:ascii="仿宋_GB2312" w:eastAsia="仿宋_GB2312"/>
                <w:sz w:val="24"/>
                <w:szCs w:val="24"/>
              </w:rPr>
            </w:pPr>
            <w:r>
              <w:rPr>
                <w:rFonts w:hint="eastAsia" w:ascii="仿宋_GB2312" w:eastAsia="仿宋_GB2312"/>
                <w:sz w:val="24"/>
                <w:szCs w:val="24"/>
              </w:rPr>
              <w:t>指导乡镇</w:t>
            </w:r>
            <w:r>
              <w:rPr>
                <w:rFonts w:ascii="仿宋_GB2312" w:eastAsia="仿宋_GB2312"/>
                <w:sz w:val="24"/>
                <w:szCs w:val="24"/>
              </w:rPr>
              <w:t>(街道)、村(社区)按照</w:t>
            </w:r>
            <w:r>
              <w:rPr>
                <w:rFonts w:hint="eastAsia" w:ascii="仿宋_GB2312" w:eastAsia="仿宋_GB2312"/>
                <w:sz w:val="24"/>
                <w:szCs w:val="24"/>
              </w:rPr>
              <w:t>“</w:t>
            </w:r>
            <w:r>
              <w:rPr>
                <w:rFonts w:ascii="仿宋_GB2312" w:eastAsia="仿宋_GB2312"/>
                <w:sz w:val="24"/>
                <w:szCs w:val="24"/>
              </w:rPr>
              <w:t>应公开</w:t>
            </w:r>
            <w:r>
              <w:rPr>
                <w:rFonts w:hint="eastAsia" w:ascii="仿宋_GB2312" w:eastAsia="仿宋_GB2312"/>
                <w:sz w:val="24"/>
                <w:szCs w:val="24"/>
              </w:rPr>
              <w:t>尽公开”原则，在上级公开目录的基础</w:t>
            </w:r>
            <w:r>
              <w:rPr>
                <w:rFonts w:ascii="仿宋_GB2312" w:eastAsia="仿宋_GB2312"/>
                <w:sz w:val="24"/>
                <w:szCs w:val="24"/>
              </w:rPr>
              <w:t>.上结合实际</w:t>
            </w:r>
            <w:r>
              <w:rPr>
                <w:rFonts w:hint="eastAsia" w:ascii="仿宋_GB2312" w:eastAsia="仿宋_GB2312"/>
                <w:sz w:val="24"/>
                <w:szCs w:val="24"/>
              </w:rPr>
              <w:t>做“减法”，梳理形成本级政务公开事项目录，并进行深入梳理，细化至三级事项，形成本级政务公开标准目录，经过内部审核、批准发布。</w:t>
            </w:r>
          </w:p>
        </w:tc>
        <w:tc>
          <w:tcPr>
            <w:tcW w:w="1417" w:type="dxa"/>
            <w:vAlign w:val="center"/>
          </w:tcPr>
          <w:p>
            <w:pPr>
              <w:spacing w:line="360" w:lineRule="exact"/>
              <w:jc w:val="center"/>
              <w:rPr>
                <w:rFonts w:hint="eastAsia" w:ascii="仿宋_GB2312" w:eastAsia="仿宋_GB2312"/>
                <w:sz w:val="24"/>
                <w:szCs w:val="24"/>
              </w:rPr>
            </w:pPr>
            <w:r>
              <w:rPr>
                <w:rFonts w:hint="eastAsia" w:ascii="仿宋_GB2312" w:eastAsia="仿宋_GB2312"/>
                <w:sz w:val="24"/>
                <w:szCs w:val="24"/>
              </w:rPr>
              <w:t>线下评估</w:t>
            </w:r>
          </w:p>
        </w:tc>
        <w:tc>
          <w:tcPr>
            <w:tcW w:w="709" w:type="dxa"/>
          </w:tcPr>
          <w:p>
            <w:pPr>
              <w:spacing w:line="360" w:lineRule="exact"/>
              <w:jc w:val="center"/>
              <w:rPr>
                <w:rFonts w:hint="eastAsia" w:ascii="仿宋_GB2312" w:eastAsia="仿宋_GB2312"/>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71" w:hRule="atLeast"/>
        </w:trPr>
        <w:tc>
          <w:tcPr>
            <w:tcW w:w="1276" w:type="dxa"/>
            <w:vMerge w:val="continue"/>
          </w:tcPr>
          <w:p>
            <w:pPr>
              <w:spacing w:line="360" w:lineRule="exact"/>
              <w:jc w:val="center"/>
              <w:rPr>
                <w:rFonts w:hint="eastAsia" w:ascii="仿宋_GB2312" w:eastAsia="仿宋_GB2312"/>
                <w:sz w:val="24"/>
                <w:szCs w:val="24"/>
              </w:rPr>
            </w:pPr>
          </w:p>
        </w:tc>
        <w:tc>
          <w:tcPr>
            <w:tcW w:w="1276" w:type="dxa"/>
            <w:vMerge w:val="restart"/>
            <w:vAlign w:val="center"/>
          </w:tcPr>
          <w:p>
            <w:pPr>
              <w:spacing w:line="360" w:lineRule="exact"/>
              <w:jc w:val="center"/>
              <w:rPr>
                <w:rFonts w:hint="eastAsia" w:ascii="仿宋_GB2312" w:eastAsia="仿宋_GB2312"/>
                <w:sz w:val="24"/>
                <w:szCs w:val="24"/>
              </w:rPr>
            </w:pPr>
            <w:r>
              <w:rPr>
                <w:rFonts w:hint="eastAsia" w:ascii="仿宋_GB2312" w:eastAsia="仿宋_GB2312"/>
                <w:sz w:val="24"/>
                <w:szCs w:val="24"/>
              </w:rPr>
              <w:t>内容发布</w:t>
            </w:r>
          </w:p>
        </w:tc>
        <w:tc>
          <w:tcPr>
            <w:tcW w:w="5103" w:type="dxa"/>
            <w:vAlign w:val="center"/>
          </w:tcPr>
          <w:p>
            <w:pPr>
              <w:spacing w:line="360" w:lineRule="exact"/>
              <w:rPr>
                <w:rFonts w:hint="eastAsia" w:ascii="仿宋_GB2312" w:eastAsia="仿宋_GB2312"/>
                <w:sz w:val="24"/>
                <w:szCs w:val="24"/>
              </w:rPr>
            </w:pPr>
            <w:r>
              <w:rPr>
                <w:rFonts w:hint="eastAsia" w:ascii="仿宋_GB2312" w:eastAsia="仿宋_GB2312"/>
                <w:sz w:val="24"/>
                <w:szCs w:val="24"/>
              </w:rPr>
              <w:t>按照政务公开标准目录要求在相应载体</w:t>
            </w:r>
            <w:r>
              <w:rPr>
                <w:rFonts w:ascii="仿宋_GB2312" w:eastAsia="仿宋_GB2312"/>
                <w:sz w:val="24"/>
                <w:szCs w:val="24"/>
              </w:rPr>
              <w:t>(专栏、专</w:t>
            </w:r>
            <w:r>
              <w:rPr>
                <w:rFonts w:hint="eastAsia" w:ascii="仿宋_GB2312" w:eastAsia="仿宋_GB2312"/>
                <w:sz w:val="24"/>
                <w:szCs w:val="24"/>
              </w:rPr>
              <w:t>区、公示栏等</w:t>
            </w:r>
            <w:r>
              <w:rPr>
                <w:rFonts w:ascii="仿宋_GB2312" w:eastAsia="仿宋_GB2312"/>
                <w:sz w:val="24"/>
                <w:szCs w:val="24"/>
              </w:rPr>
              <w:t>)上及时、准确公开信息并动态更新</w:t>
            </w:r>
            <w:r>
              <w:rPr>
                <w:rFonts w:hint="eastAsia" w:ascii="仿宋_GB2312" w:eastAsia="仿宋_GB2312"/>
                <w:sz w:val="24"/>
                <w:szCs w:val="24"/>
              </w:rPr>
              <w:t>。</w:t>
            </w:r>
          </w:p>
        </w:tc>
        <w:tc>
          <w:tcPr>
            <w:tcW w:w="1417" w:type="dxa"/>
            <w:vAlign w:val="center"/>
          </w:tcPr>
          <w:p>
            <w:pPr>
              <w:spacing w:line="360" w:lineRule="exact"/>
              <w:jc w:val="center"/>
              <w:rPr>
                <w:rFonts w:hint="eastAsia" w:ascii="仿宋_GB2312" w:eastAsia="仿宋_GB2312"/>
                <w:sz w:val="24"/>
                <w:szCs w:val="24"/>
              </w:rPr>
            </w:pPr>
            <w:r>
              <w:rPr>
                <w:rFonts w:hint="eastAsia" w:ascii="仿宋_GB2312" w:eastAsia="仿宋_GB2312"/>
                <w:sz w:val="24"/>
                <w:szCs w:val="24"/>
              </w:rPr>
              <w:t>线下评估/线上评估</w:t>
            </w:r>
          </w:p>
        </w:tc>
        <w:tc>
          <w:tcPr>
            <w:tcW w:w="709" w:type="dxa"/>
          </w:tcPr>
          <w:p>
            <w:pPr>
              <w:spacing w:line="360" w:lineRule="exact"/>
              <w:jc w:val="center"/>
              <w:rPr>
                <w:rFonts w:hint="eastAsia" w:ascii="仿宋_GB2312" w:eastAsia="仿宋_GB2312"/>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59" w:hRule="atLeast"/>
        </w:trPr>
        <w:tc>
          <w:tcPr>
            <w:tcW w:w="1276" w:type="dxa"/>
            <w:vMerge w:val="continue"/>
          </w:tcPr>
          <w:p>
            <w:pPr>
              <w:spacing w:line="360" w:lineRule="exact"/>
              <w:jc w:val="center"/>
              <w:rPr>
                <w:rFonts w:hint="eastAsia" w:ascii="仿宋_GB2312" w:eastAsia="仿宋_GB2312"/>
                <w:sz w:val="24"/>
                <w:szCs w:val="24"/>
              </w:rPr>
            </w:pPr>
          </w:p>
        </w:tc>
        <w:tc>
          <w:tcPr>
            <w:tcW w:w="1276" w:type="dxa"/>
            <w:vMerge w:val="continue"/>
          </w:tcPr>
          <w:p>
            <w:pPr>
              <w:spacing w:line="360" w:lineRule="exact"/>
              <w:jc w:val="center"/>
              <w:rPr>
                <w:rFonts w:hint="eastAsia" w:ascii="仿宋_GB2312" w:eastAsia="仿宋_GB2312"/>
                <w:sz w:val="24"/>
                <w:szCs w:val="24"/>
              </w:rPr>
            </w:pPr>
          </w:p>
        </w:tc>
        <w:tc>
          <w:tcPr>
            <w:tcW w:w="5103" w:type="dxa"/>
            <w:vAlign w:val="center"/>
          </w:tcPr>
          <w:p>
            <w:pPr>
              <w:spacing w:line="360" w:lineRule="exact"/>
              <w:rPr>
                <w:rFonts w:hint="eastAsia" w:ascii="仿宋_GB2312" w:eastAsia="仿宋_GB2312"/>
                <w:sz w:val="24"/>
                <w:szCs w:val="24"/>
              </w:rPr>
            </w:pPr>
            <w:r>
              <w:rPr>
                <w:rFonts w:hint="eastAsia" w:ascii="仿宋_GB2312" w:eastAsia="仿宋_GB2312"/>
                <w:sz w:val="24"/>
                <w:szCs w:val="24"/>
              </w:rPr>
              <w:t>村</w:t>
            </w:r>
            <w:r>
              <w:rPr>
                <w:rFonts w:ascii="仿宋_GB2312" w:eastAsia="仿宋_GB2312"/>
                <w:sz w:val="24"/>
                <w:szCs w:val="24"/>
              </w:rPr>
              <w:t>(社区)级利用公开栏、</w:t>
            </w:r>
            <w:r>
              <w:rPr>
                <w:rFonts w:hint="eastAsia" w:ascii="仿宋_GB2312" w:eastAsia="仿宋_GB2312"/>
                <w:sz w:val="24"/>
                <w:szCs w:val="24"/>
              </w:rPr>
              <w:t>微信群等渠</w:t>
            </w:r>
            <w:r>
              <w:rPr>
                <w:rFonts w:hint="eastAsia" w:ascii="仿宋_GB2312" w:hAnsi="仿宋_GB2312" w:eastAsia="仿宋_GB2312" w:cs="仿宋_GB2312"/>
                <w:sz w:val="24"/>
                <w:szCs w:val="24"/>
              </w:rPr>
              <w:t>道，重点公</w:t>
            </w:r>
            <w:r>
              <w:rPr>
                <w:rFonts w:hint="eastAsia" w:ascii="仿宋_GB2312" w:eastAsia="仿宋_GB2312"/>
                <w:sz w:val="24"/>
                <w:szCs w:val="24"/>
              </w:rPr>
              <w:t>开乡村振兴、村级财务、惠农政策、养老服务、社会救助等方面的内容。</w:t>
            </w:r>
          </w:p>
        </w:tc>
        <w:tc>
          <w:tcPr>
            <w:tcW w:w="1417" w:type="dxa"/>
            <w:vAlign w:val="center"/>
          </w:tcPr>
          <w:p>
            <w:pPr>
              <w:spacing w:line="360" w:lineRule="exact"/>
              <w:jc w:val="center"/>
              <w:rPr>
                <w:rFonts w:hint="eastAsia" w:ascii="仿宋_GB2312" w:eastAsia="仿宋_GB2312"/>
                <w:sz w:val="24"/>
                <w:szCs w:val="24"/>
              </w:rPr>
            </w:pPr>
            <w:r>
              <w:rPr>
                <w:rFonts w:hint="eastAsia" w:ascii="仿宋_GB2312" w:eastAsia="仿宋_GB2312"/>
                <w:sz w:val="24"/>
                <w:szCs w:val="24"/>
              </w:rPr>
              <w:t>线下评估</w:t>
            </w:r>
          </w:p>
        </w:tc>
        <w:tc>
          <w:tcPr>
            <w:tcW w:w="709" w:type="dxa"/>
          </w:tcPr>
          <w:p>
            <w:pPr>
              <w:spacing w:line="360" w:lineRule="exact"/>
              <w:jc w:val="center"/>
              <w:rPr>
                <w:rFonts w:hint="eastAsia" w:ascii="仿宋_GB2312" w:eastAsia="仿宋_GB2312"/>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9" w:hRule="atLeast"/>
        </w:trPr>
        <w:tc>
          <w:tcPr>
            <w:tcW w:w="1276" w:type="dxa"/>
            <w:vAlign w:val="center"/>
          </w:tcPr>
          <w:p>
            <w:pPr>
              <w:spacing w:line="360" w:lineRule="exact"/>
              <w:jc w:val="center"/>
              <w:rPr>
                <w:rFonts w:hint="eastAsia" w:ascii="仿宋_GB2312" w:eastAsia="仿宋_GB2312"/>
                <w:sz w:val="24"/>
                <w:szCs w:val="24"/>
              </w:rPr>
            </w:pPr>
            <w:r>
              <w:rPr>
                <w:rFonts w:hint="eastAsia" w:ascii="楷体_GB2312" w:hAnsi="楷体" w:eastAsia="楷体_GB2312"/>
                <w:b/>
                <w:bCs/>
                <w:sz w:val="24"/>
                <w:szCs w:val="24"/>
              </w:rPr>
              <w:t>一级指标</w:t>
            </w:r>
          </w:p>
        </w:tc>
        <w:tc>
          <w:tcPr>
            <w:tcW w:w="1276" w:type="dxa"/>
            <w:vAlign w:val="center"/>
          </w:tcPr>
          <w:p>
            <w:pPr>
              <w:spacing w:line="360" w:lineRule="exact"/>
              <w:jc w:val="center"/>
              <w:rPr>
                <w:rFonts w:hint="eastAsia" w:ascii="仿宋_GB2312" w:eastAsia="仿宋_GB2312"/>
                <w:sz w:val="24"/>
                <w:szCs w:val="24"/>
              </w:rPr>
            </w:pPr>
            <w:r>
              <w:rPr>
                <w:rFonts w:hint="eastAsia" w:ascii="楷体_GB2312" w:hAnsi="楷体" w:eastAsia="楷体_GB2312"/>
                <w:b/>
                <w:bCs/>
                <w:sz w:val="24"/>
                <w:szCs w:val="24"/>
              </w:rPr>
              <w:t>二级指标</w:t>
            </w:r>
          </w:p>
        </w:tc>
        <w:tc>
          <w:tcPr>
            <w:tcW w:w="5103" w:type="dxa"/>
            <w:vAlign w:val="center"/>
          </w:tcPr>
          <w:p>
            <w:pPr>
              <w:spacing w:line="360" w:lineRule="exact"/>
              <w:jc w:val="center"/>
              <w:rPr>
                <w:rFonts w:hint="eastAsia" w:ascii="仿宋_GB2312" w:eastAsia="仿宋_GB2312"/>
                <w:sz w:val="24"/>
                <w:szCs w:val="24"/>
              </w:rPr>
            </w:pPr>
            <w:r>
              <w:rPr>
                <w:rFonts w:hint="eastAsia" w:ascii="楷体_GB2312" w:hAnsi="楷体" w:eastAsia="楷体_GB2312"/>
                <w:b/>
                <w:bCs/>
                <w:sz w:val="24"/>
                <w:szCs w:val="24"/>
              </w:rPr>
              <w:t>三级指标</w:t>
            </w:r>
          </w:p>
        </w:tc>
        <w:tc>
          <w:tcPr>
            <w:tcW w:w="1417" w:type="dxa"/>
            <w:vAlign w:val="center"/>
          </w:tcPr>
          <w:p>
            <w:pPr>
              <w:spacing w:line="360" w:lineRule="exact"/>
              <w:jc w:val="center"/>
              <w:rPr>
                <w:rFonts w:hint="eastAsia" w:ascii="仿宋_GB2312" w:eastAsia="仿宋_GB2312"/>
                <w:szCs w:val="21"/>
              </w:rPr>
            </w:pPr>
            <w:r>
              <w:rPr>
                <w:rFonts w:hint="eastAsia" w:ascii="楷体_GB2312" w:hAnsi="楷体" w:eastAsia="楷体_GB2312"/>
                <w:b/>
                <w:bCs/>
                <w:sz w:val="24"/>
                <w:szCs w:val="24"/>
              </w:rPr>
              <w:t>评估方式</w:t>
            </w:r>
          </w:p>
        </w:tc>
        <w:tc>
          <w:tcPr>
            <w:tcW w:w="709" w:type="dxa"/>
            <w:vAlign w:val="center"/>
          </w:tcPr>
          <w:p>
            <w:pPr>
              <w:spacing w:line="360" w:lineRule="exact"/>
              <w:jc w:val="center"/>
              <w:rPr>
                <w:rFonts w:hint="eastAsia" w:ascii="仿宋_GB2312" w:eastAsia="仿宋_GB2312"/>
                <w:szCs w:val="21"/>
              </w:rPr>
            </w:pPr>
            <w:r>
              <w:rPr>
                <w:rFonts w:hint="eastAsia" w:ascii="楷体_GB2312" w:hAnsi="楷体" w:eastAsia="楷体_GB2312"/>
                <w:b/>
                <w:bCs/>
                <w:sz w:val="24"/>
                <w:szCs w:val="24"/>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76" w:type="dxa"/>
            <w:vMerge w:val="restart"/>
            <w:vAlign w:val="center"/>
          </w:tcPr>
          <w:p>
            <w:pPr>
              <w:spacing w:line="360" w:lineRule="exact"/>
              <w:jc w:val="center"/>
              <w:rPr>
                <w:rFonts w:hint="eastAsia" w:ascii="仿宋_GB2312" w:eastAsia="仿宋_GB2312"/>
                <w:sz w:val="24"/>
                <w:szCs w:val="24"/>
              </w:rPr>
            </w:pPr>
            <w:r>
              <w:rPr>
                <w:rFonts w:hint="eastAsia" w:ascii="仿宋_GB2312" w:eastAsia="仿宋_GB2312"/>
                <w:sz w:val="24"/>
                <w:szCs w:val="24"/>
              </w:rPr>
              <w:t>公开渠道</w:t>
            </w:r>
          </w:p>
        </w:tc>
        <w:tc>
          <w:tcPr>
            <w:tcW w:w="1276" w:type="dxa"/>
            <w:vMerge w:val="restart"/>
            <w:vAlign w:val="center"/>
          </w:tcPr>
          <w:p>
            <w:pPr>
              <w:spacing w:line="360" w:lineRule="exact"/>
              <w:jc w:val="center"/>
              <w:rPr>
                <w:rFonts w:hint="eastAsia" w:ascii="仿宋_GB2312" w:eastAsia="仿宋_GB2312"/>
                <w:sz w:val="24"/>
                <w:szCs w:val="24"/>
              </w:rPr>
            </w:pPr>
            <w:r>
              <w:rPr>
                <w:rFonts w:hint="eastAsia" w:ascii="仿宋_GB2312" w:eastAsia="仿宋_GB2312"/>
                <w:sz w:val="24"/>
                <w:szCs w:val="24"/>
              </w:rPr>
              <w:t>线下公开专区</w:t>
            </w:r>
          </w:p>
        </w:tc>
        <w:tc>
          <w:tcPr>
            <w:tcW w:w="5103" w:type="dxa"/>
            <w:vAlign w:val="center"/>
          </w:tcPr>
          <w:p>
            <w:pPr>
              <w:spacing w:line="340" w:lineRule="exact"/>
              <w:rPr>
                <w:rFonts w:hint="eastAsia" w:ascii="仿宋_GB2312" w:eastAsia="仿宋_GB2312"/>
                <w:spacing w:val="-8"/>
                <w:sz w:val="24"/>
                <w:szCs w:val="24"/>
              </w:rPr>
            </w:pPr>
            <w:r>
              <w:rPr>
                <w:rFonts w:hint="eastAsia" w:ascii="仿宋_GB2312" w:eastAsia="仿宋_GB2312"/>
                <w:spacing w:val="-8"/>
                <w:sz w:val="24"/>
                <w:szCs w:val="24"/>
              </w:rPr>
              <w:t>在本级及镇街实体政务大厅建设基层政务公开专区，专区内集中摆放应公开内容。</w:t>
            </w:r>
          </w:p>
        </w:tc>
        <w:tc>
          <w:tcPr>
            <w:tcW w:w="1417" w:type="dxa"/>
            <w:vAlign w:val="center"/>
          </w:tcPr>
          <w:p>
            <w:pPr>
              <w:spacing w:line="360" w:lineRule="exact"/>
              <w:jc w:val="center"/>
              <w:rPr>
                <w:rFonts w:hint="eastAsia" w:ascii="仿宋_GB2312" w:eastAsia="仿宋_GB2312"/>
                <w:szCs w:val="21"/>
              </w:rPr>
            </w:pPr>
            <w:r>
              <w:rPr>
                <w:rFonts w:hint="eastAsia" w:ascii="仿宋_GB2312" w:eastAsia="仿宋_GB2312"/>
                <w:szCs w:val="21"/>
              </w:rPr>
              <w:t>线下评估</w:t>
            </w:r>
          </w:p>
        </w:tc>
        <w:tc>
          <w:tcPr>
            <w:tcW w:w="709" w:type="dxa"/>
          </w:tcPr>
          <w:p>
            <w:pPr>
              <w:spacing w:line="360" w:lineRule="exact"/>
              <w:jc w:val="center"/>
              <w:rPr>
                <w:rFonts w:hint="eastAsia" w:ascii="仿宋_GB2312" w:eastAsia="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76" w:type="dxa"/>
            <w:vMerge w:val="continue"/>
            <w:vAlign w:val="center"/>
          </w:tcPr>
          <w:p>
            <w:pPr>
              <w:spacing w:line="360" w:lineRule="exact"/>
              <w:jc w:val="center"/>
              <w:rPr>
                <w:rFonts w:hint="eastAsia" w:ascii="仿宋_GB2312" w:eastAsia="仿宋_GB2312"/>
                <w:sz w:val="24"/>
                <w:szCs w:val="24"/>
              </w:rPr>
            </w:pPr>
          </w:p>
        </w:tc>
        <w:tc>
          <w:tcPr>
            <w:tcW w:w="1276" w:type="dxa"/>
            <w:vMerge w:val="continue"/>
            <w:vAlign w:val="center"/>
          </w:tcPr>
          <w:p>
            <w:pPr>
              <w:spacing w:line="360" w:lineRule="exact"/>
              <w:jc w:val="center"/>
              <w:rPr>
                <w:rFonts w:hint="eastAsia" w:ascii="仿宋_GB2312" w:eastAsia="仿宋_GB2312"/>
                <w:sz w:val="24"/>
                <w:szCs w:val="24"/>
              </w:rPr>
            </w:pPr>
          </w:p>
        </w:tc>
        <w:tc>
          <w:tcPr>
            <w:tcW w:w="5103" w:type="dxa"/>
            <w:vAlign w:val="center"/>
          </w:tcPr>
          <w:p>
            <w:pPr>
              <w:spacing w:line="340" w:lineRule="exact"/>
              <w:rPr>
                <w:rFonts w:hint="eastAsia" w:ascii="仿宋_GB2312" w:eastAsia="仿宋_GB2312"/>
                <w:spacing w:val="-8"/>
                <w:sz w:val="24"/>
                <w:szCs w:val="24"/>
              </w:rPr>
            </w:pPr>
            <w:r>
              <w:rPr>
                <w:rFonts w:hint="eastAsia" w:ascii="仿宋_GB2312" w:eastAsia="仿宋_GB2312"/>
                <w:spacing w:val="-8"/>
                <w:sz w:val="24"/>
                <w:szCs w:val="24"/>
              </w:rPr>
              <w:t>专区位置显眼、专区内布局合理，有统一、清楚的“政务公开专区”标识标牌。</w:t>
            </w:r>
          </w:p>
        </w:tc>
        <w:tc>
          <w:tcPr>
            <w:tcW w:w="1417" w:type="dxa"/>
            <w:vAlign w:val="center"/>
          </w:tcPr>
          <w:p>
            <w:pPr>
              <w:spacing w:line="360" w:lineRule="exact"/>
              <w:jc w:val="center"/>
              <w:rPr>
                <w:rFonts w:hint="eastAsia" w:ascii="仿宋_GB2312" w:eastAsia="仿宋_GB2312"/>
                <w:szCs w:val="21"/>
              </w:rPr>
            </w:pPr>
            <w:r>
              <w:rPr>
                <w:rFonts w:hint="eastAsia" w:ascii="仿宋_GB2312" w:eastAsia="仿宋_GB2312"/>
                <w:szCs w:val="21"/>
              </w:rPr>
              <w:t>线下评估</w:t>
            </w:r>
          </w:p>
        </w:tc>
        <w:tc>
          <w:tcPr>
            <w:tcW w:w="709" w:type="dxa"/>
          </w:tcPr>
          <w:p>
            <w:pPr>
              <w:spacing w:line="360" w:lineRule="exact"/>
              <w:jc w:val="center"/>
              <w:rPr>
                <w:rFonts w:hint="eastAsia" w:ascii="仿宋_GB2312" w:eastAsia="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76" w:type="dxa"/>
            <w:vMerge w:val="continue"/>
            <w:vAlign w:val="center"/>
          </w:tcPr>
          <w:p>
            <w:pPr>
              <w:spacing w:line="360" w:lineRule="exact"/>
              <w:jc w:val="center"/>
              <w:rPr>
                <w:rFonts w:hint="eastAsia" w:ascii="仿宋_GB2312" w:eastAsia="仿宋_GB2312"/>
                <w:sz w:val="24"/>
                <w:szCs w:val="24"/>
              </w:rPr>
            </w:pPr>
          </w:p>
        </w:tc>
        <w:tc>
          <w:tcPr>
            <w:tcW w:w="1276" w:type="dxa"/>
            <w:vMerge w:val="continue"/>
            <w:vAlign w:val="center"/>
          </w:tcPr>
          <w:p>
            <w:pPr>
              <w:spacing w:line="360" w:lineRule="exact"/>
              <w:rPr>
                <w:rFonts w:hint="eastAsia" w:ascii="仿宋_GB2312" w:eastAsia="仿宋_GB2312"/>
                <w:sz w:val="24"/>
                <w:szCs w:val="24"/>
              </w:rPr>
            </w:pPr>
          </w:p>
        </w:tc>
        <w:tc>
          <w:tcPr>
            <w:tcW w:w="5103" w:type="dxa"/>
            <w:vAlign w:val="center"/>
          </w:tcPr>
          <w:p>
            <w:pPr>
              <w:spacing w:line="340" w:lineRule="exact"/>
              <w:rPr>
                <w:rFonts w:hint="eastAsia" w:ascii="仿宋_GB2312" w:eastAsia="仿宋_GB2312"/>
                <w:spacing w:val="-8"/>
                <w:sz w:val="24"/>
                <w:szCs w:val="24"/>
              </w:rPr>
            </w:pPr>
            <w:r>
              <w:rPr>
                <w:rFonts w:hint="eastAsia" w:ascii="仿宋_GB2312" w:eastAsia="仿宋_GB2312"/>
                <w:spacing w:val="-8"/>
                <w:sz w:val="24"/>
                <w:szCs w:val="24"/>
              </w:rPr>
              <w:t>专区配置电脑、打印机(或其他有此功能的设施设备如触摸屏、自助办事终端等)设施设备，保证设施设备正常使用，确保专区可实现公开信息查询、服务事项办理、依申请公开等功能。</w:t>
            </w:r>
          </w:p>
        </w:tc>
        <w:tc>
          <w:tcPr>
            <w:tcW w:w="1417" w:type="dxa"/>
            <w:vAlign w:val="center"/>
          </w:tcPr>
          <w:p>
            <w:pPr>
              <w:spacing w:line="360" w:lineRule="exact"/>
              <w:jc w:val="center"/>
              <w:rPr>
                <w:rFonts w:hint="eastAsia" w:ascii="仿宋_GB2312" w:eastAsia="仿宋_GB2312"/>
                <w:szCs w:val="21"/>
              </w:rPr>
            </w:pPr>
            <w:r>
              <w:rPr>
                <w:rFonts w:hint="eastAsia" w:ascii="仿宋_GB2312" w:eastAsia="仿宋_GB2312"/>
                <w:szCs w:val="21"/>
              </w:rPr>
              <w:t>线下评估</w:t>
            </w:r>
          </w:p>
        </w:tc>
        <w:tc>
          <w:tcPr>
            <w:tcW w:w="709" w:type="dxa"/>
          </w:tcPr>
          <w:p>
            <w:pPr>
              <w:spacing w:line="360" w:lineRule="exact"/>
              <w:jc w:val="center"/>
              <w:rPr>
                <w:rFonts w:hint="eastAsia" w:ascii="仿宋_GB2312" w:eastAsia="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2" w:hRule="atLeast"/>
        </w:trPr>
        <w:tc>
          <w:tcPr>
            <w:tcW w:w="1276" w:type="dxa"/>
            <w:vMerge w:val="continue"/>
            <w:vAlign w:val="center"/>
          </w:tcPr>
          <w:p>
            <w:pPr>
              <w:spacing w:line="360" w:lineRule="exact"/>
              <w:jc w:val="center"/>
              <w:rPr>
                <w:rFonts w:hint="eastAsia" w:ascii="仿宋_GB2312" w:eastAsia="仿宋_GB2312"/>
                <w:sz w:val="24"/>
                <w:szCs w:val="24"/>
              </w:rPr>
            </w:pPr>
          </w:p>
        </w:tc>
        <w:tc>
          <w:tcPr>
            <w:tcW w:w="1276" w:type="dxa"/>
            <w:vMerge w:val="continue"/>
            <w:vAlign w:val="center"/>
          </w:tcPr>
          <w:p>
            <w:pPr>
              <w:spacing w:line="360" w:lineRule="exact"/>
              <w:jc w:val="center"/>
              <w:rPr>
                <w:rFonts w:hint="eastAsia" w:ascii="仿宋_GB2312" w:eastAsia="仿宋_GB2312"/>
                <w:sz w:val="24"/>
                <w:szCs w:val="24"/>
              </w:rPr>
            </w:pPr>
          </w:p>
        </w:tc>
        <w:tc>
          <w:tcPr>
            <w:tcW w:w="5103" w:type="dxa"/>
            <w:vAlign w:val="center"/>
          </w:tcPr>
          <w:p>
            <w:pPr>
              <w:spacing w:line="340" w:lineRule="exact"/>
              <w:rPr>
                <w:rFonts w:hint="eastAsia" w:ascii="仿宋_GB2312" w:eastAsia="仿宋_GB2312"/>
                <w:spacing w:val="-8"/>
                <w:sz w:val="24"/>
                <w:szCs w:val="24"/>
              </w:rPr>
            </w:pPr>
            <w:r>
              <w:rPr>
                <w:rFonts w:hint="eastAsia" w:ascii="仿宋_GB2312" w:eastAsia="仿宋_GB2312"/>
                <w:spacing w:val="-8"/>
                <w:sz w:val="24"/>
                <w:szCs w:val="24"/>
              </w:rPr>
              <w:t>专区有专人提供公开信息咨询服务。</w:t>
            </w:r>
          </w:p>
        </w:tc>
        <w:tc>
          <w:tcPr>
            <w:tcW w:w="1417" w:type="dxa"/>
            <w:vAlign w:val="center"/>
          </w:tcPr>
          <w:p>
            <w:pPr>
              <w:spacing w:line="360" w:lineRule="exact"/>
              <w:jc w:val="center"/>
              <w:rPr>
                <w:rFonts w:hint="eastAsia" w:ascii="仿宋_GB2312" w:eastAsia="仿宋_GB2312"/>
                <w:szCs w:val="21"/>
              </w:rPr>
            </w:pPr>
            <w:r>
              <w:rPr>
                <w:rFonts w:hint="eastAsia" w:ascii="仿宋_GB2312" w:eastAsia="仿宋_GB2312"/>
                <w:szCs w:val="21"/>
              </w:rPr>
              <w:t>线下评估</w:t>
            </w:r>
          </w:p>
        </w:tc>
        <w:tc>
          <w:tcPr>
            <w:tcW w:w="709" w:type="dxa"/>
          </w:tcPr>
          <w:p>
            <w:pPr>
              <w:spacing w:line="360" w:lineRule="exact"/>
              <w:jc w:val="center"/>
              <w:rPr>
                <w:rFonts w:hint="eastAsia" w:ascii="仿宋_GB2312" w:eastAsia="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76" w:type="dxa"/>
            <w:vMerge w:val="continue"/>
            <w:vAlign w:val="center"/>
          </w:tcPr>
          <w:p>
            <w:pPr>
              <w:spacing w:line="360" w:lineRule="exact"/>
              <w:jc w:val="center"/>
              <w:rPr>
                <w:rFonts w:hint="eastAsia" w:ascii="仿宋_GB2312" w:eastAsia="仿宋_GB2312"/>
                <w:sz w:val="24"/>
                <w:szCs w:val="24"/>
              </w:rPr>
            </w:pPr>
          </w:p>
        </w:tc>
        <w:tc>
          <w:tcPr>
            <w:tcW w:w="1276" w:type="dxa"/>
            <w:vMerge w:val="continue"/>
            <w:vAlign w:val="center"/>
          </w:tcPr>
          <w:p>
            <w:pPr>
              <w:spacing w:line="360" w:lineRule="exact"/>
              <w:jc w:val="center"/>
              <w:rPr>
                <w:rFonts w:hint="eastAsia" w:ascii="仿宋_GB2312" w:eastAsia="仿宋_GB2312"/>
                <w:sz w:val="24"/>
                <w:szCs w:val="24"/>
              </w:rPr>
            </w:pPr>
          </w:p>
        </w:tc>
        <w:tc>
          <w:tcPr>
            <w:tcW w:w="5103" w:type="dxa"/>
            <w:vAlign w:val="center"/>
          </w:tcPr>
          <w:p>
            <w:pPr>
              <w:spacing w:line="340" w:lineRule="exact"/>
              <w:rPr>
                <w:rFonts w:hint="eastAsia" w:ascii="仿宋_GB2312" w:eastAsia="仿宋_GB2312"/>
                <w:spacing w:val="-8"/>
                <w:sz w:val="24"/>
                <w:szCs w:val="24"/>
              </w:rPr>
            </w:pPr>
            <w:r>
              <w:rPr>
                <w:rFonts w:hint="eastAsia" w:ascii="仿宋_GB2312" w:eastAsia="仿宋_GB2312"/>
                <w:spacing w:val="-8"/>
                <w:sz w:val="24"/>
                <w:szCs w:val="24"/>
              </w:rPr>
              <w:t>专区摆放办事指南、“一件事一次办”办事一本通和政府公报等纸质公开查询资料。</w:t>
            </w:r>
          </w:p>
        </w:tc>
        <w:tc>
          <w:tcPr>
            <w:tcW w:w="1417" w:type="dxa"/>
            <w:vAlign w:val="center"/>
          </w:tcPr>
          <w:p>
            <w:pPr>
              <w:spacing w:line="360" w:lineRule="exact"/>
              <w:jc w:val="center"/>
              <w:rPr>
                <w:rFonts w:hint="eastAsia" w:ascii="仿宋_GB2312" w:eastAsia="仿宋_GB2312"/>
                <w:szCs w:val="21"/>
              </w:rPr>
            </w:pPr>
            <w:r>
              <w:rPr>
                <w:rFonts w:hint="eastAsia" w:ascii="仿宋_GB2312" w:eastAsia="仿宋_GB2312"/>
                <w:szCs w:val="21"/>
              </w:rPr>
              <w:t>线下评估</w:t>
            </w:r>
          </w:p>
        </w:tc>
        <w:tc>
          <w:tcPr>
            <w:tcW w:w="709" w:type="dxa"/>
          </w:tcPr>
          <w:p>
            <w:pPr>
              <w:spacing w:line="360" w:lineRule="exact"/>
              <w:jc w:val="center"/>
              <w:rPr>
                <w:rFonts w:hint="eastAsia" w:ascii="仿宋_GB2312" w:eastAsia="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76" w:type="dxa"/>
            <w:vMerge w:val="continue"/>
            <w:vAlign w:val="center"/>
          </w:tcPr>
          <w:p>
            <w:pPr>
              <w:spacing w:line="360" w:lineRule="exact"/>
              <w:jc w:val="center"/>
              <w:rPr>
                <w:rFonts w:hint="eastAsia" w:ascii="仿宋_GB2312" w:eastAsia="仿宋_GB2312"/>
                <w:sz w:val="24"/>
                <w:szCs w:val="24"/>
              </w:rPr>
            </w:pPr>
          </w:p>
        </w:tc>
        <w:tc>
          <w:tcPr>
            <w:tcW w:w="1276" w:type="dxa"/>
            <w:vMerge w:val="continue"/>
            <w:vAlign w:val="center"/>
          </w:tcPr>
          <w:p>
            <w:pPr>
              <w:spacing w:line="360" w:lineRule="exact"/>
              <w:jc w:val="center"/>
              <w:rPr>
                <w:rFonts w:hint="eastAsia" w:ascii="仿宋_GB2312" w:eastAsia="仿宋_GB2312"/>
                <w:sz w:val="24"/>
                <w:szCs w:val="24"/>
              </w:rPr>
            </w:pPr>
          </w:p>
        </w:tc>
        <w:tc>
          <w:tcPr>
            <w:tcW w:w="5103" w:type="dxa"/>
            <w:vAlign w:val="center"/>
          </w:tcPr>
          <w:p>
            <w:pPr>
              <w:spacing w:line="340" w:lineRule="exact"/>
              <w:rPr>
                <w:rFonts w:hint="eastAsia" w:ascii="仿宋_GB2312" w:eastAsia="仿宋_GB2312"/>
                <w:spacing w:val="-8"/>
                <w:sz w:val="24"/>
                <w:szCs w:val="24"/>
              </w:rPr>
            </w:pPr>
            <w:r>
              <w:rPr>
                <w:rFonts w:hint="eastAsia" w:ascii="仿宋_GB2312" w:eastAsia="仿宋_GB2312"/>
                <w:spacing w:val="-8"/>
                <w:sz w:val="24"/>
                <w:szCs w:val="24"/>
              </w:rPr>
              <w:t>专区纸质公开资料分类摆放，整齐、有序，内容准确、有效。</w:t>
            </w:r>
          </w:p>
        </w:tc>
        <w:tc>
          <w:tcPr>
            <w:tcW w:w="1417" w:type="dxa"/>
            <w:vAlign w:val="center"/>
          </w:tcPr>
          <w:p>
            <w:pPr>
              <w:spacing w:line="360" w:lineRule="exact"/>
              <w:jc w:val="center"/>
              <w:rPr>
                <w:rFonts w:hint="eastAsia" w:ascii="仿宋_GB2312" w:eastAsia="仿宋_GB2312"/>
                <w:szCs w:val="21"/>
              </w:rPr>
            </w:pPr>
            <w:r>
              <w:rPr>
                <w:rFonts w:hint="eastAsia" w:ascii="仿宋_GB2312" w:eastAsia="仿宋_GB2312"/>
                <w:szCs w:val="21"/>
              </w:rPr>
              <w:t>线下评估</w:t>
            </w:r>
          </w:p>
        </w:tc>
        <w:tc>
          <w:tcPr>
            <w:tcW w:w="709" w:type="dxa"/>
          </w:tcPr>
          <w:p>
            <w:pPr>
              <w:spacing w:line="360" w:lineRule="exact"/>
              <w:jc w:val="center"/>
              <w:rPr>
                <w:rFonts w:hint="eastAsia" w:ascii="仿宋_GB2312" w:eastAsia="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76" w:type="dxa"/>
            <w:vMerge w:val="continue"/>
            <w:vAlign w:val="center"/>
          </w:tcPr>
          <w:p>
            <w:pPr>
              <w:spacing w:line="360" w:lineRule="exact"/>
              <w:jc w:val="center"/>
              <w:rPr>
                <w:rFonts w:hint="eastAsia" w:ascii="仿宋_GB2312" w:eastAsia="仿宋_GB2312"/>
                <w:sz w:val="24"/>
                <w:szCs w:val="24"/>
              </w:rPr>
            </w:pPr>
          </w:p>
        </w:tc>
        <w:tc>
          <w:tcPr>
            <w:tcW w:w="1276" w:type="dxa"/>
            <w:vAlign w:val="center"/>
          </w:tcPr>
          <w:p>
            <w:pPr>
              <w:spacing w:line="360" w:lineRule="exact"/>
              <w:jc w:val="center"/>
              <w:rPr>
                <w:rFonts w:hint="eastAsia" w:ascii="仿宋_GB2312" w:eastAsia="仿宋_GB2312"/>
                <w:sz w:val="24"/>
                <w:szCs w:val="24"/>
              </w:rPr>
            </w:pPr>
            <w:r>
              <w:rPr>
                <w:rFonts w:hint="eastAsia" w:ascii="仿宋_GB2312" w:eastAsia="仿宋_GB2312"/>
                <w:sz w:val="24"/>
                <w:szCs w:val="24"/>
              </w:rPr>
              <w:t>线上公开专栏</w:t>
            </w:r>
          </w:p>
        </w:tc>
        <w:tc>
          <w:tcPr>
            <w:tcW w:w="5103" w:type="dxa"/>
            <w:vAlign w:val="center"/>
          </w:tcPr>
          <w:p>
            <w:pPr>
              <w:spacing w:line="340" w:lineRule="exact"/>
              <w:rPr>
                <w:rFonts w:hint="eastAsia" w:ascii="仿宋_GB2312" w:eastAsia="仿宋_GB2312"/>
                <w:spacing w:val="-8"/>
                <w:sz w:val="24"/>
                <w:szCs w:val="24"/>
              </w:rPr>
            </w:pPr>
            <w:r>
              <w:rPr>
                <w:rFonts w:hint="eastAsia" w:ascii="仿宋_GB2312" w:eastAsia="仿宋_GB2312"/>
                <w:spacing w:val="-8"/>
                <w:sz w:val="24"/>
                <w:szCs w:val="24"/>
              </w:rPr>
              <w:t>线上专栏各二级目录下均有具体公开信息，且公开信息内容与公开目录表格要求一致，全面、准确。</w:t>
            </w:r>
          </w:p>
        </w:tc>
        <w:tc>
          <w:tcPr>
            <w:tcW w:w="1417" w:type="dxa"/>
            <w:vAlign w:val="center"/>
          </w:tcPr>
          <w:p>
            <w:pPr>
              <w:spacing w:line="360" w:lineRule="exact"/>
              <w:jc w:val="center"/>
              <w:rPr>
                <w:rFonts w:hint="eastAsia" w:ascii="仿宋_GB2312" w:eastAsia="仿宋_GB2312"/>
                <w:szCs w:val="21"/>
              </w:rPr>
            </w:pPr>
            <w:r>
              <w:rPr>
                <w:rFonts w:hint="eastAsia" w:ascii="仿宋_GB2312" w:eastAsia="仿宋_GB2312"/>
                <w:sz w:val="24"/>
                <w:szCs w:val="24"/>
              </w:rPr>
              <w:t>线下评估/线上评估</w:t>
            </w:r>
          </w:p>
        </w:tc>
        <w:tc>
          <w:tcPr>
            <w:tcW w:w="709" w:type="dxa"/>
          </w:tcPr>
          <w:p>
            <w:pPr>
              <w:spacing w:line="360" w:lineRule="exact"/>
              <w:jc w:val="center"/>
              <w:rPr>
                <w:rFonts w:hint="eastAsia" w:ascii="仿宋_GB2312" w:eastAsia="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76" w:type="dxa"/>
            <w:vMerge w:val="continue"/>
            <w:vAlign w:val="center"/>
          </w:tcPr>
          <w:p>
            <w:pPr>
              <w:spacing w:line="360" w:lineRule="exact"/>
              <w:jc w:val="center"/>
              <w:rPr>
                <w:rFonts w:hint="eastAsia" w:ascii="仿宋_GB2312" w:eastAsia="仿宋_GB2312"/>
                <w:sz w:val="24"/>
                <w:szCs w:val="24"/>
              </w:rPr>
            </w:pPr>
          </w:p>
        </w:tc>
        <w:tc>
          <w:tcPr>
            <w:tcW w:w="1276" w:type="dxa"/>
            <w:vAlign w:val="center"/>
          </w:tcPr>
          <w:p>
            <w:pPr>
              <w:spacing w:line="360" w:lineRule="exact"/>
              <w:jc w:val="center"/>
              <w:rPr>
                <w:rFonts w:hint="eastAsia" w:ascii="仿宋_GB2312" w:eastAsia="仿宋_GB2312"/>
                <w:sz w:val="24"/>
                <w:szCs w:val="24"/>
              </w:rPr>
            </w:pPr>
            <w:r>
              <w:rPr>
                <w:rFonts w:hint="eastAsia" w:ascii="仿宋_GB2312" w:eastAsia="仿宋_GB2312"/>
                <w:sz w:val="24"/>
                <w:szCs w:val="24"/>
              </w:rPr>
              <w:t>其他公开平台</w:t>
            </w:r>
          </w:p>
        </w:tc>
        <w:tc>
          <w:tcPr>
            <w:tcW w:w="5103" w:type="dxa"/>
            <w:vAlign w:val="center"/>
          </w:tcPr>
          <w:p>
            <w:pPr>
              <w:spacing w:line="340" w:lineRule="exact"/>
              <w:rPr>
                <w:rFonts w:hint="eastAsia" w:ascii="仿宋_GB2312" w:eastAsia="仿宋_GB2312"/>
                <w:spacing w:val="-8"/>
                <w:sz w:val="24"/>
                <w:szCs w:val="24"/>
              </w:rPr>
            </w:pPr>
            <w:r>
              <w:rPr>
                <w:rFonts w:hint="eastAsia" w:ascii="仿宋_GB2312" w:eastAsia="仿宋_GB2312"/>
                <w:spacing w:val="-8"/>
                <w:sz w:val="24"/>
                <w:szCs w:val="24"/>
              </w:rPr>
              <w:t>村(社区)积极利用公开栏、广播、电视、报纸、大喇叭等媒介和渠道发布政务信息，方便群众查询获取.</w:t>
            </w:r>
          </w:p>
        </w:tc>
        <w:tc>
          <w:tcPr>
            <w:tcW w:w="1417" w:type="dxa"/>
            <w:vAlign w:val="center"/>
          </w:tcPr>
          <w:p>
            <w:pPr>
              <w:spacing w:line="360" w:lineRule="exact"/>
              <w:jc w:val="center"/>
              <w:rPr>
                <w:rFonts w:hint="eastAsia" w:ascii="仿宋_GB2312" w:eastAsia="仿宋_GB2312"/>
                <w:szCs w:val="21"/>
              </w:rPr>
            </w:pPr>
            <w:r>
              <w:rPr>
                <w:rFonts w:hint="eastAsia" w:ascii="仿宋_GB2312" w:eastAsia="仿宋_GB2312"/>
                <w:szCs w:val="21"/>
              </w:rPr>
              <w:t>线下评估</w:t>
            </w:r>
          </w:p>
        </w:tc>
        <w:tc>
          <w:tcPr>
            <w:tcW w:w="709" w:type="dxa"/>
          </w:tcPr>
          <w:p>
            <w:pPr>
              <w:spacing w:line="360" w:lineRule="exact"/>
              <w:jc w:val="center"/>
              <w:rPr>
                <w:rFonts w:hint="eastAsia" w:ascii="仿宋_GB2312" w:eastAsia="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76" w:type="dxa"/>
            <w:vMerge w:val="restart"/>
            <w:vAlign w:val="center"/>
          </w:tcPr>
          <w:p>
            <w:pPr>
              <w:spacing w:line="360" w:lineRule="exact"/>
              <w:jc w:val="center"/>
              <w:rPr>
                <w:rFonts w:hint="eastAsia" w:ascii="仿宋_GB2312" w:eastAsia="仿宋_GB2312"/>
                <w:sz w:val="24"/>
                <w:szCs w:val="24"/>
              </w:rPr>
            </w:pPr>
            <w:r>
              <w:rPr>
                <w:rFonts w:hint="eastAsia" w:ascii="仿宋_GB2312" w:eastAsia="仿宋_GB2312"/>
                <w:sz w:val="24"/>
                <w:szCs w:val="24"/>
              </w:rPr>
              <w:t>公开管理</w:t>
            </w:r>
          </w:p>
        </w:tc>
        <w:tc>
          <w:tcPr>
            <w:tcW w:w="1276" w:type="dxa"/>
            <w:vAlign w:val="center"/>
          </w:tcPr>
          <w:p>
            <w:pPr>
              <w:spacing w:line="360" w:lineRule="exact"/>
              <w:jc w:val="center"/>
              <w:rPr>
                <w:rFonts w:hint="eastAsia" w:ascii="仿宋_GB2312" w:eastAsia="仿宋_GB2312"/>
                <w:sz w:val="24"/>
                <w:szCs w:val="24"/>
              </w:rPr>
            </w:pPr>
            <w:r>
              <w:rPr>
                <w:rFonts w:hint="eastAsia" w:ascii="仿宋_GB2312" w:eastAsia="仿宋_GB2312"/>
                <w:sz w:val="24"/>
                <w:szCs w:val="24"/>
              </w:rPr>
              <w:t>主动公开管理</w:t>
            </w:r>
          </w:p>
        </w:tc>
        <w:tc>
          <w:tcPr>
            <w:tcW w:w="5103" w:type="dxa"/>
            <w:vAlign w:val="center"/>
          </w:tcPr>
          <w:p>
            <w:pPr>
              <w:spacing w:line="340" w:lineRule="exact"/>
              <w:rPr>
                <w:rFonts w:hint="eastAsia" w:ascii="仿宋_GB2312" w:eastAsia="仿宋_GB2312"/>
                <w:spacing w:val="-8"/>
                <w:sz w:val="24"/>
                <w:szCs w:val="24"/>
              </w:rPr>
            </w:pPr>
            <w:r>
              <w:rPr>
                <w:rFonts w:hint="eastAsia" w:ascii="仿宋_GB2312" w:eastAsia="仿宋_GB2312"/>
                <w:spacing w:val="-8"/>
                <w:sz w:val="24"/>
                <w:szCs w:val="24"/>
              </w:rPr>
              <w:t>建立基层政务公开主动公开、依申请公开、解读回应、信息发布问题反馈、政府信息公开属性标识源头认定等流程、规范，所制定的工作规范能够有效指导工作推进。</w:t>
            </w:r>
          </w:p>
        </w:tc>
        <w:tc>
          <w:tcPr>
            <w:tcW w:w="1417" w:type="dxa"/>
            <w:vAlign w:val="center"/>
          </w:tcPr>
          <w:p>
            <w:pPr>
              <w:spacing w:line="360" w:lineRule="exact"/>
              <w:jc w:val="center"/>
              <w:rPr>
                <w:rFonts w:hint="eastAsia" w:ascii="仿宋_GB2312" w:eastAsia="仿宋_GB2312"/>
                <w:szCs w:val="21"/>
              </w:rPr>
            </w:pPr>
            <w:r>
              <w:rPr>
                <w:rFonts w:hint="eastAsia" w:ascii="仿宋_GB2312" w:eastAsia="仿宋_GB2312"/>
                <w:szCs w:val="21"/>
              </w:rPr>
              <w:t>线下评估</w:t>
            </w:r>
          </w:p>
        </w:tc>
        <w:tc>
          <w:tcPr>
            <w:tcW w:w="709" w:type="dxa"/>
          </w:tcPr>
          <w:p>
            <w:pPr>
              <w:spacing w:line="360" w:lineRule="exact"/>
              <w:jc w:val="center"/>
              <w:rPr>
                <w:rFonts w:hint="eastAsia" w:ascii="仿宋_GB2312" w:eastAsia="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9" w:hRule="atLeast"/>
        </w:trPr>
        <w:tc>
          <w:tcPr>
            <w:tcW w:w="1276" w:type="dxa"/>
            <w:vMerge w:val="continue"/>
            <w:vAlign w:val="center"/>
          </w:tcPr>
          <w:p>
            <w:pPr>
              <w:spacing w:line="360" w:lineRule="exact"/>
              <w:jc w:val="center"/>
              <w:rPr>
                <w:rFonts w:hint="eastAsia" w:ascii="仿宋_GB2312" w:eastAsia="仿宋_GB2312"/>
                <w:sz w:val="24"/>
                <w:szCs w:val="24"/>
              </w:rPr>
            </w:pPr>
          </w:p>
        </w:tc>
        <w:tc>
          <w:tcPr>
            <w:tcW w:w="1276" w:type="dxa"/>
            <w:vMerge w:val="restart"/>
            <w:vAlign w:val="center"/>
          </w:tcPr>
          <w:p>
            <w:pPr>
              <w:spacing w:line="360" w:lineRule="exact"/>
              <w:jc w:val="center"/>
              <w:rPr>
                <w:rFonts w:hint="eastAsia" w:ascii="仿宋_GB2312" w:eastAsia="仿宋_GB2312"/>
                <w:sz w:val="24"/>
                <w:szCs w:val="24"/>
              </w:rPr>
            </w:pPr>
            <w:r>
              <w:rPr>
                <w:rFonts w:hint="eastAsia" w:ascii="仿宋_GB2312" w:eastAsia="仿宋_GB2312"/>
                <w:sz w:val="24"/>
                <w:szCs w:val="24"/>
              </w:rPr>
              <w:t>公开渠道管理</w:t>
            </w:r>
          </w:p>
        </w:tc>
        <w:tc>
          <w:tcPr>
            <w:tcW w:w="5103" w:type="dxa"/>
            <w:vAlign w:val="center"/>
          </w:tcPr>
          <w:p>
            <w:pPr>
              <w:spacing w:line="340" w:lineRule="exact"/>
              <w:rPr>
                <w:rFonts w:hint="eastAsia" w:ascii="仿宋_GB2312" w:eastAsia="仿宋_GB2312"/>
                <w:spacing w:val="-8"/>
                <w:sz w:val="24"/>
                <w:szCs w:val="24"/>
              </w:rPr>
            </w:pPr>
            <w:r>
              <w:rPr>
                <w:rFonts w:hint="eastAsia" w:ascii="仿宋_GB2312" w:eastAsia="仿宋_GB2312"/>
                <w:spacing w:val="-8"/>
                <w:sz w:val="24"/>
                <w:szCs w:val="24"/>
              </w:rPr>
              <w:t>建立政务公开专区管理机制，明确管理人员和职责。</w:t>
            </w:r>
          </w:p>
        </w:tc>
        <w:tc>
          <w:tcPr>
            <w:tcW w:w="1417" w:type="dxa"/>
            <w:vAlign w:val="center"/>
          </w:tcPr>
          <w:p>
            <w:pPr>
              <w:spacing w:line="360" w:lineRule="exact"/>
              <w:jc w:val="center"/>
              <w:rPr>
                <w:rFonts w:hint="eastAsia" w:ascii="仿宋_GB2312" w:eastAsia="仿宋_GB2312"/>
                <w:szCs w:val="21"/>
              </w:rPr>
            </w:pPr>
            <w:r>
              <w:rPr>
                <w:rFonts w:hint="eastAsia" w:ascii="仿宋_GB2312" w:eastAsia="仿宋_GB2312"/>
                <w:szCs w:val="21"/>
              </w:rPr>
              <w:t>线下评估</w:t>
            </w:r>
          </w:p>
        </w:tc>
        <w:tc>
          <w:tcPr>
            <w:tcW w:w="709" w:type="dxa"/>
          </w:tcPr>
          <w:p>
            <w:pPr>
              <w:spacing w:line="360" w:lineRule="exact"/>
              <w:jc w:val="center"/>
              <w:rPr>
                <w:rFonts w:hint="eastAsia" w:ascii="仿宋_GB2312" w:eastAsia="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76" w:type="dxa"/>
            <w:vMerge w:val="continue"/>
            <w:vAlign w:val="center"/>
          </w:tcPr>
          <w:p>
            <w:pPr>
              <w:spacing w:line="360" w:lineRule="exact"/>
              <w:jc w:val="center"/>
              <w:rPr>
                <w:rFonts w:hint="eastAsia" w:ascii="仿宋_GB2312" w:eastAsia="仿宋_GB2312"/>
                <w:sz w:val="24"/>
                <w:szCs w:val="24"/>
              </w:rPr>
            </w:pPr>
          </w:p>
        </w:tc>
        <w:tc>
          <w:tcPr>
            <w:tcW w:w="1276" w:type="dxa"/>
            <w:vMerge w:val="continue"/>
            <w:vAlign w:val="center"/>
          </w:tcPr>
          <w:p>
            <w:pPr>
              <w:spacing w:line="360" w:lineRule="exact"/>
              <w:jc w:val="center"/>
              <w:rPr>
                <w:rFonts w:hint="eastAsia" w:ascii="仿宋_GB2312" w:eastAsia="仿宋_GB2312"/>
                <w:sz w:val="24"/>
                <w:szCs w:val="24"/>
              </w:rPr>
            </w:pPr>
          </w:p>
        </w:tc>
        <w:tc>
          <w:tcPr>
            <w:tcW w:w="5103" w:type="dxa"/>
            <w:vAlign w:val="center"/>
          </w:tcPr>
          <w:p>
            <w:pPr>
              <w:spacing w:line="340" w:lineRule="exact"/>
              <w:rPr>
                <w:rFonts w:hint="eastAsia" w:ascii="仿宋_GB2312" w:eastAsia="仿宋_GB2312"/>
                <w:spacing w:val="-8"/>
                <w:sz w:val="24"/>
                <w:szCs w:val="24"/>
              </w:rPr>
            </w:pPr>
            <w:r>
              <w:rPr>
                <w:rFonts w:hint="eastAsia" w:ascii="仿宋_GB2312" w:eastAsia="仿宋_GB2312"/>
                <w:spacing w:val="-8"/>
                <w:sz w:val="24"/>
                <w:szCs w:val="24"/>
              </w:rPr>
              <w:t>建立线上专栏内容保障及动态管理机制，明确各领域内容保障责任单位、专栏管理责任人、信息发布及动态更新要求等，并对专栏相关模块内容动态更新。</w:t>
            </w:r>
          </w:p>
        </w:tc>
        <w:tc>
          <w:tcPr>
            <w:tcW w:w="1417" w:type="dxa"/>
            <w:vAlign w:val="center"/>
          </w:tcPr>
          <w:p>
            <w:pPr>
              <w:spacing w:line="360" w:lineRule="exact"/>
              <w:jc w:val="center"/>
              <w:rPr>
                <w:rFonts w:hint="eastAsia" w:ascii="仿宋_GB2312" w:eastAsia="仿宋_GB2312"/>
                <w:szCs w:val="21"/>
              </w:rPr>
            </w:pPr>
            <w:r>
              <w:rPr>
                <w:rFonts w:hint="eastAsia" w:ascii="仿宋_GB2312" w:eastAsia="仿宋_GB2312"/>
                <w:szCs w:val="21"/>
              </w:rPr>
              <w:t>线下评估</w:t>
            </w:r>
          </w:p>
        </w:tc>
        <w:tc>
          <w:tcPr>
            <w:tcW w:w="709" w:type="dxa"/>
          </w:tcPr>
          <w:p>
            <w:pPr>
              <w:spacing w:line="360" w:lineRule="exact"/>
              <w:jc w:val="center"/>
              <w:rPr>
                <w:rFonts w:hint="eastAsia" w:ascii="仿宋_GB2312" w:eastAsia="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76" w:type="dxa"/>
            <w:vMerge w:val="continue"/>
            <w:vAlign w:val="center"/>
          </w:tcPr>
          <w:p>
            <w:pPr>
              <w:spacing w:line="360" w:lineRule="exact"/>
              <w:jc w:val="center"/>
              <w:rPr>
                <w:rFonts w:hint="eastAsia" w:ascii="仿宋_GB2312" w:eastAsia="仿宋_GB2312"/>
                <w:sz w:val="24"/>
                <w:szCs w:val="24"/>
              </w:rPr>
            </w:pPr>
          </w:p>
        </w:tc>
        <w:tc>
          <w:tcPr>
            <w:tcW w:w="1276" w:type="dxa"/>
            <w:vMerge w:val="continue"/>
            <w:vAlign w:val="center"/>
          </w:tcPr>
          <w:p>
            <w:pPr>
              <w:spacing w:line="360" w:lineRule="exact"/>
              <w:jc w:val="center"/>
              <w:rPr>
                <w:rFonts w:hint="eastAsia" w:ascii="仿宋_GB2312" w:eastAsia="仿宋_GB2312"/>
                <w:sz w:val="24"/>
                <w:szCs w:val="24"/>
              </w:rPr>
            </w:pPr>
          </w:p>
        </w:tc>
        <w:tc>
          <w:tcPr>
            <w:tcW w:w="5103" w:type="dxa"/>
            <w:vAlign w:val="center"/>
          </w:tcPr>
          <w:p>
            <w:pPr>
              <w:spacing w:line="340" w:lineRule="exact"/>
              <w:rPr>
                <w:rFonts w:hint="eastAsia" w:ascii="仿宋_GB2312" w:eastAsia="仿宋_GB2312"/>
                <w:spacing w:val="-8"/>
                <w:sz w:val="24"/>
                <w:szCs w:val="24"/>
              </w:rPr>
            </w:pPr>
            <w:r>
              <w:rPr>
                <w:rFonts w:hint="eastAsia" w:ascii="仿宋_GB2312" w:eastAsia="仿宋_GB2312"/>
                <w:spacing w:val="-8"/>
                <w:sz w:val="24"/>
                <w:szCs w:val="24"/>
              </w:rPr>
              <w:t>线下公示栏的信息发布建立台账。</w:t>
            </w:r>
          </w:p>
        </w:tc>
        <w:tc>
          <w:tcPr>
            <w:tcW w:w="1417" w:type="dxa"/>
            <w:vAlign w:val="center"/>
          </w:tcPr>
          <w:p>
            <w:pPr>
              <w:spacing w:line="360" w:lineRule="exact"/>
              <w:jc w:val="center"/>
              <w:rPr>
                <w:rFonts w:hint="eastAsia" w:ascii="仿宋_GB2312" w:eastAsia="仿宋_GB2312"/>
                <w:szCs w:val="21"/>
              </w:rPr>
            </w:pPr>
            <w:r>
              <w:rPr>
                <w:rFonts w:hint="eastAsia" w:ascii="仿宋_GB2312" w:eastAsia="仿宋_GB2312"/>
                <w:sz w:val="24"/>
                <w:szCs w:val="24"/>
              </w:rPr>
              <w:t>线下评估/线上评估</w:t>
            </w:r>
          </w:p>
        </w:tc>
        <w:tc>
          <w:tcPr>
            <w:tcW w:w="709" w:type="dxa"/>
          </w:tcPr>
          <w:p>
            <w:pPr>
              <w:spacing w:line="360" w:lineRule="exact"/>
              <w:jc w:val="center"/>
              <w:rPr>
                <w:rFonts w:hint="eastAsia" w:ascii="仿宋_GB2312" w:eastAsia="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76" w:type="dxa"/>
            <w:vMerge w:val="continue"/>
            <w:vAlign w:val="center"/>
          </w:tcPr>
          <w:p>
            <w:pPr>
              <w:spacing w:line="360" w:lineRule="exact"/>
              <w:jc w:val="center"/>
              <w:rPr>
                <w:rFonts w:hint="eastAsia" w:ascii="仿宋_GB2312" w:eastAsia="仿宋_GB2312"/>
                <w:sz w:val="24"/>
                <w:szCs w:val="24"/>
              </w:rPr>
            </w:pPr>
          </w:p>
        </w:tc>
        <w:tc>
          <w:tcPr>
            <w:tcW w:w="1276" w:type="dxa"/>
            <w:vAlign w:val="center"/>
          </w:tcPr>
          <w:p>
            <w:pPr>
              <w:spacing w:line="360" w:lineRule="exact"/>
              <w:jc w:val="center"/>
              <w:rPr>
                <w:rFonts w:hint="eastAsia" w:ascii="仿宋_GB2312" w:eastAsia="仿宋_GB2312"/>
                <w:sz w:val="24"/>
                <w:szCs w:val="24"/>
              </w:rPr>
            </w:pPr>
            <w:r>
              <w:rPr>
                <w:rFonts w:hint="eastAsia" w:ascii="仿宋_GB2312" w:eastAsia="仿宋_GB2312"/>
                <w:sz w:val="24"/>
                <w:szCs w:val="24"/>
              </w:rPr>
              <w:t>监督考评</w:t>
            </w:r>
          </w:p>
        </w:tc>
        <w:tc>
          <w:tcPr>
            <w:tcW w:w="5103" w:type="dxa"/>
            <w:vAlign w:val="center"/>
          </w:tcPr>
          <w:p>
            <w:pPr>
              <w:spacing w:line="340" w:lineRule="exact"/>
              <w:rPr>
                <w:rFonts w:hint="eastAsia" w:ascii="仿宋_GB2312" w:eastAsia="仿宋_GB2312"/>
                <w:spacing w:val="-8"/>
                <w:sz w:val="24"/>
                <w:szCs w:val="24"/>
              </w:rPr>
            </w:pPr>
            <w:r>
              <w:rPr>
                <w:rFonts w:hint="eastAsia" w:ascii="仿宋_GB2312" w:eastAsia="仿宋_GB2312"/>
                <w:spacing w:val="-8"/>
                <w:sz w:val="24"/>
                <w:szCs w:val="24"/>
              </w:rPr>
              <w:t>建立考核激励机制，将基层政务公开工作纳入单位政务公开工作评估或考核。</w:t>
            </w:r>
          </w:p>
        </w:tc>
        <w:tc>
          <w:tcPr>
            <w:tcW w:w="1417" w:type="dxa"/>
            <w:vAlign w:val="center"/>
          </w:tcPr>
          <w:p>
            <w:pPr>
              <w:spacing w:line="360" w:lineRule="exact"/>
              <w:jc w:val="center"/>
              <w:rPr>
                <w:rFonts w:hint="eastAsia" w:ascii="仿宋_GB2312" w:eastAsia="仿宋_GB2312"/>
                <w:szCs w:val="21"/>
              </w:rPr>
            </w:pPr>
            <w:r>
              <w:rPr>
                <w:rFonts w:hint="eastAsia" w:ascii="仿宋_GB2312" w:eastAsia="仿宋_GB2312"/>
                <w:szCs w:val="21"/>
              </w:rPr>
              <w:t>线下评估</w:t>
            </w:r>
          </w:p>
        </w:tc>
        <w:tc>
          <w:tcPr>
            <w:tcW w:w="709" w:type="dxa"/>
          </w:tcPr>
          <w:p>
            <w:pPr>
              <w:spacing w:line="360" w:lineRule="exact"/>
              <w:jc w:val="center"/>
              <w:rPr>
                <w:rFonts w:hint="eastAsia" w:ascii="仿宋_GB2312" w:eastAsia="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76" w:type="dxa"/>
            <w:vAlign w:val="center"/>
          </w:tcPr>
          <w:p>
            <w:pPr>
              <w:spacing w:line="360" w:lineRule="exact"/>
              <w:jc w:val="center"/>
              <w:rPr>
                <w:rFonts w:hint="eastAsia" w:ascii="仿宋_GB2312" w:eastAsia="仿宋_GB2312"/>
                <w:sz w:val="24"/>
                <w:szCs w:val="24"/>
              </w:rPr>
            </w:pPr>
            <w:r>
              <w:rPr>
                <w:rFonts w:hint="eastAsia" w:ascii="仿宋_GB2312" w:eastAsia="仿宋_GB2312"/>
                <w:sz w:val="24"/>
                <w:szCs w:val="24"/>
              </w:rPr>
              <w:t>市级工作推进响应情况</w:t>
            </w:r>
          </w:p>
        </w:tc>
        <w:tc>
          <w:tcPr>
            <w:tcW w:w="1276" w:type="dxa"/>
            <w:vAlign w:val="center"/>
          </w:tcPr>
          <w:p>
            <w:pPr>
              <w:spacing w:line="360" w:lineRule="exact"/>
              <w:jc w:val="center"/>
              <w:rPr>
                <w:rFonts w:hint="eastAsia" w:ascii="仿宋_GB2312" w:eastAsia="仿宋_GB2312"/>
                <w:sz w:val="24"/>
                <w:szCs w:val="24"/>
              </w:rPr>
            </w:pPr>
            <w:r>
              <w:rPr>
                <w:rFonts w:hint="eastAsia" w:ascii="仿宋_GB2312" w:eastAsia="仿宋_GB2312"/>
                <w:sz w:val="24"/>
                <w:szCs w:val="24"/>
              </w:rPr>
              <w:t>响应情况</w:t>
            </w:r>
          </w:p>
        </w:tc>
        <w:tc>
          <w:tcPr>
            <w:tcW w:w="5103" w:type="dxa"/>
            <w:vAlign w:val="center"/>
          </w:tcPr>
          <w:p>
            <w:pPr>
              <w:spacing w:line="340" w:lineRule="exact"/>
              <w:rPr>
                <w:rFonts w:hint="eastAsia" w:ascii="仿宋_GB2312" w:eastAsia="仿宋_GB2312"/>
                <w:spacing w:val="-8"/>
                <w:sz w:val="24"/>
                <w:szCs w:val="24"/>
              </w:rPr>
            </w:pPr>
            <w:r>
              <w:rPr>
                <w:rFonts w:hint="eastAsia" w:ascii="仿宋_GB2312" w:eastAsia="仿宋_GB2312"/>
                <w:spacing w:val="-8"/>
                <w:sz w:val="24"/>
                <w:szCs w:val="24"/>
              </w:rPr>
              <w:t>按要求及时完成基层政务公开相关工作任务或报送基层政务公开有关材料。</w:t>
            </w:r>
          </w:p>
        </w:tc>
        <w:tc>
          <w:tcPr>
            <w:tcW w:w="1417" w:type="dxa"/>
            <w:vAlign w:val="center"/>
          </w:tcPr>
          <w:p>
            <w:pPr>
              <w:spacing w:line="360" w:lineRule="exact"/>
              <w:jc w:val="center"/>
              <w:rPr>
                <w:rFonts w:hint="eastAsia" w:ascii="仿宋_GB2312" w:eastAsia="仿宋_GB2312"/>
                <w:szCs w:val="21"/>
              </w:rPr>
            </w:pPr>
            <w:r>
              <w:rPr>
                <w:rFonts w:hint="eastAsia" w:ascii="仿宋_GB2312" w:eastAsia="仿宋_GB2312"/>
                <w:szCs w:val="21"/>
              </w:rPr>
              <w:t>日常考评</w:t>
            </w:r>
          </w:p>
        </w:tc>
        <w:tc>
          <w:tcPr>
            <w:tcW w:w="709" w:type="dxa"/>
          </w:tcPr>
          <w:p>
            <w:pPr>
              <w:spacing w:line="360" w:lineRule="exact"/>
              <w:jc w:val="center"/>
              <w:rPr>
                <w:rFonts w:hint="eastAsia" w:ascii="仿宋_GB2312" w:eastAsia="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76" w:type="dxa"/>
            <w:vAlign w:val="center"/>
          </w:tcPr>
          <w:p>
            <w:pPr>
              <w:spacing w:line="360" w:lineRule="exact"/>
              <w:jc w:val="center"/>
              <w:rPr>
                <w:rFonts w:hint="eastAsia" w:ascii="仿宋_GB2312" w:eastAsia="仿宋_GB2312"/>
                <w:sz w:val="24"/>
                <w:szCs w:val="24"/>
              </w:rPr>
            </w:pPr>
            <w:r>
              <w:rPr>
                <w:rFonts w:hint="eastAsia" w:ascii="仿宋_GB2312" w:eastAsia="仿宋_GB2312"/>
                <w:sz w:val="24"/>
                <w:szCs w:val="24"/>
              </w:rPr>
              <w:t>加分项</w:t>
            </w:r>
          </w:p>
        </w:tc>
        <w:tc>
          <w:tcPr>
            <w:tcW w:w="1276" w:type="dxa"/>
            <w:vAlign w:val="center"/>
          </w:tcPr>
          <w:p>
            <w:pPr>
              <w:spacing w:line="360" w:lineRule="exact"/>
              <w:jc w:val="center"/>
              <w:rPr>
                <w:rFonts w:hint="eastAsia" w:ascii="仿宋_GB2312" w:eastAsia="仿宋_GB2312"/>
                <w:sz w:val="24"/>
                <w:szCs w:val="24"/>
              </w:rPr>
            </w:pPr>
            <w:r>
              <w:rPr>
                <w:rFonts w:hint="eastAsia" w:ascii="仿宋_GB2312" w:eastAsia="仿宋_GB2312"/>
                <w:sz w:val="24"/>
                <w:szCs w:val="24"/>
              </w:rPr>
              <w:t>工作成效</w:t>
            </w:r>
          </w:p>
        </w:tc>
        <w:tc>
          <w:tcPr>
            <w:tcW w:w="5103" w:type="dxa"/>
            <w:vAlign w:val="center"/>
          </w:tcPr>
          <w:p>
            <w:pPr>
              <w:spacing w:line="360" w:lineRule="exact"/>
              <w:rPr>
                <w:rFonts w:hint="eastAsia" w:ascii="仿宋_GB2312" w:eastAsia="仿宋_GB2312"/>
                <w:spacing w:val="-8"/>
                <w:sz w:val="24"/>
                <w:szCs w:val="24"/>
              </w:rPr>
            </w:pPr>
            <w:r>
              <w:rPr>
                <w:rFonts w:hint="eastAsia" w:ascii="仿宋_GB2312" w:eastAsia="仿宋_GB2312"/>
                <w:spacing w:val="-8"/>
                <w:sz w:val="24"/>
                <w:szCs w:val="24"/>
              </w:rPr>
              <w:t>基层政务公开工作经验获得国家、省、市级推介。</w:t>
            </w:r>
          </w:p>
        </w:tc>
        <w:tc>
          <w:tcPr>
            <w:tcW w:w="1417" w:type="dxa"/>
            <w:vAlign w:val="center"/>
          </w:tcPr>
          <w:p>
            <w:pPr>
              <w:spacing w:line="360" w:lineRule="exact"/>
              <w:jc w:val="center"/>
              <w:rPr>
                <w:rFonts w:hint="eastAsia" w:ascii="仿宋_GB2312" w:eastAsia="仿宋_GB2312"/>
                <w:szCs w:val="21"/>
              </w:rPr>
            </w:pPr>
            <w:r>
              <w:rPr>
                <w:rFonts w:hint="eastAsia" w:ascii="仿宋_GB2312" w:eastAsia="仿宋_GB2312"/>
                <w:szCs w:val="21"/>
              </w:rPr>
              <w:t>线下评估</w:t>
            </w:r>
          </w:p>
        </w:tc>
        <w:tc>
          <w:tcPr>
            <w:tcW w:w="709" w:type="dxa"/>
          </w:tcPr>
          <w:p>
            <w:pPr>
              <w:spacing w:line="360" w:lineRule="exact"/>
              <w:jc w:val="center"/>
              <w:rPr>
                <w:rFonts w:hint="eastAsia" w:ascii="仿宋_GB2312" w:eastAsia="仿宋_GB2312"/>
                <w:szCs w:val="21"/>
              </w:rPr>
            </w:pPr>
          </w:p>
        </w:tc>
      </w:tr>
    </w:tbl>
    <w:p>
      <w:pPr>
        <w:spacing w:line="360" w:lineRule="exact"/>
        <w:jc w:val="center"/>
        <w:rPr>
          <w:rFonts w:hint="eastAsia" w:ascii="方正小标宋简体" w:eastAsia="方正小标宋简体"/>
          <w:sz w:val="44"/>
          <w:szCs w:val="44"/>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等线">
    <w:panose1 w:val="02010600030101010101"/>
    <w:charset w:val="86"/>
    <w:family w:val="auto"/>
    <w:pitch w:val="default"/>
    <w:sig w:usb0="A00002BF" w:usb1="38CF7CFA" w:usb2="00000016" w:usb3="00000000" w:csb0="0004000F" w:csb1="00000000"/>
  </w:font>
  <w:font w:name="方正小标宋简体">
    <w:altName w:val="Arial Unicode MS"/>
    <w:panose1 w:val="03000509000000000000"/>
    <w:charset w:val="86"/>
    <w:family w:val="script"/>
    <w:pitch w:val="default"/>
    <w:sig w:usb0="00000000" w:usb1="00000000" w:usb2="00000000" w:usb3="00000000" w:csb0="00040000" w:csb1="00000000"/>
  </w:font>
  <w:font w:name="Arial Unicode MS">
    <w:panose1 w:val="020B0604020202020204"/>
    <w:charset w:val="86"/>
    <w:family w:val="auto"/>
    <w:pitch w:val="default"/>
    <w:sig w:usb0="FFFFFFFF" w:usb1="E9FFFFFF" w:usb2="0000003F" w:usb3="00000000" w:csb0="603F01FF" w:csb1="FFFF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楷体_GB2312">
    <w:altName w:val="楷体"/>
    <w:panose1 w:val="02010609030101010101"/>
    <w:charset w:val="86"/>
    <w:family w:val="modern"/>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6"/>
  <w:doNotDisplayPageBoundaries w:val="1"/>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A350A"/>
    <w:rsid w:val="000D0F99"/>
    <w:rsid w:val="001C24A1"/>
    <w:rsid w:val="001F38F7"/>
    <w:rsid w:val="00282C65"/>
    <w:rsid w:val="00433A1B"/>
    <w:rsid w:val="00650B1B"/>
    <w:rsid w:val="00690DA0"/>
    <w:rsid w:val="00755700"/>
    <w:rsid w:val="007E5D8D"/>
    <w:rsid w:val="008F746A"/>
    <w:rsid w:val="009148DE"/>
    <w:rsid w:val="00984586"/>
    <w:rsid w:val="009B7FEE"/>
    <w:rsid w:val="00AB1A9C"/>
    <w:rsid w:val="00BC0922"/>
    <w:rsid w:val="00CD3B8C"/>
    <w:rsid w:val="00EC0AD8"/>
    <w:rsid w:val="00FA350A"/>
    <w:rsid w:val="00FC32A7"/>
    <w:rsid w:val="022A43BB"/>
    <w:rsid w:val="02F742F2"/>
    <w:rsid w:val="035620CD"/>
    <w:rsid w:val="07590803"/>
    <w:rsid w:val="08515686"/>
    <w:rsid w:val="0AE7663F"/>
    <w:rsid w:val="0C7E0504"/>
    <w:rsid w:val="0EF070BA"/>
    <w:rsid w:val="1F0B52C4"/>
    <w:rsid w:val="1FA61717"/>
    <w:rsid w:val="21276BC9"/>
    <w:rsid w:val="283645ED"/>
    <w:rsid w:val="2EA35B23"/>
    <w:rsid w:val="3194213C"/>
    <w:rsid w:val="337B014E"/>
    <w:rsid w:val="3EB461CE"/>
    <w:rsid w:val="47104EC6"/>
    <w:rsid w:val="471E58ED"/>
    <w:rsid w:val="481238D8"/>
    <w:rsid w:val="49500EAE"/>
    <w:rsid w:val="4AA927BB"/>
    <w:rsid w:val="5D427995"/>
    <w:rsid w:val="64B10BED"/>
    <w:rsid w:val="662D20D9"/>
    <w:rsid w:val="6D044E57"/>
    <w:rsid w:val="6EB237E2"/>
    <w:rsid w:val="6F0247CA"/>
    <w:rsid w:val="72DC4C87"/>
    <w:rsid w:val="75A16F4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6">
    <w:name w:val="Default Paragraph Font"/>
    <w:semiHidden/>
    <w:unhideWhenUsed/>
    <w:qFormat/>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8"/>
    <w:unhideWhenUsed/>
    <w:qFormat/>
    <w:uiPriority w:val="99"/>
    <w:pPr>
      <w:tabs>
        <w:tab w:val="center" w:pos="4153"/>
        <w:tab w:val="right" w:pos="8306"/>
      </w:tabs>
      <w:snapToGrid w:val="0"/>
      <w:jc w:val="left"/>
    </w:pPr>
    <w:rPr>
      <w:sz w:val="18"/>
      <w:szCs w:val="18"/>
    </w:rPr>
  </w:style>
  <w:style w:type="paragraph" w:styleId="3">
    <w:name w:val="header"/>
    <w:basedOn w:val="1"/>
    <w:link w:val="7"/>
    <w:unhideWhenUsed/>
    <w:qFormat/>
    <w:uiPriority w:val="99"/>
    <w:pPr>
      <w:pBdr>
        <w:bottom w:val="single" w:color="auto" w:sz="6" w:space="1"/>
      </w:pBdr>
      <w:tabs>
        <w:tab w:val="center" w:pos="4153"/>
        <w:tab w:val="right" w:pos="8306"/>
      </w:tabs>
      <w:snapToGrid w:val="0"/>
      <w:jc w:val="center"/>
    </w:pPr>
    <w:rPr>
      <w:sz w:val="18"/>
      <w:szCs w:val="18"/>
    </w:rPr>
  </w:style>
  <w:style w:type="table" w:styleId="5">
    <w:name w:val="Table Grid"/>
    <w:basedOn w:val="4"/>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7">
    <w:name w:val="页眉 字符"/>
    <w:basedOn w:val="6"/>
    <w:link w:val="3"/>
    <w:qFormat/>
    <w:uiPriority w:val="99"/>
    <w:rPr>
      <w:sz w:val="18"/>
      <w:szCs w:val="18"/>
    </w:rPr>
  </w:style>
  <w:style w:type="character" w:customStyle="1" w:styleId="8">
    <w:name w:val="页脚 字符"/>
    <w:basedOn w:val="6"/>
    <w:link w:val="2"/>
    <w:qFormat/>
    <w:uiPriority w:val="99"/>
    <w:rPr>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7</Pages>
  <Words>571</Words>
  <Characters>3256</Characters>
  <Lines>27</Lines>
  <Paragraphs>7</Paragraphs>
  <TotalTime>16</TotalTime>
  <ScaleCrop>false</ScaleCrop>
  <LinksUpToDate>false</LinksUpToDate>
  <CharactersWithSpaces>3820</CharactersWithSpaces>
  <Application>WPS Office_11.1.0.10700_F1E327BC-269C-435d-A152-05C5408002CA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2021-04-25T03:00:00Z</dcterms:created>
  <dc:creator>36687089@qq.com</dc:creator>
  <cp:lastModifiedBy>Administrator</cp:lastModifiedBy>
  <cp:lastPrinted>2021-04-26T07:42:00Z</cp:lastPrinted>
  <dcterms:modified xsi:type="dcterms:W3CDTF">2021-08-25T07:08:04Z</dcterms:modified>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2052-11.1.0.10700</vt:lpwstr>
  </property>
  <property fmtid="{D5CDD505-2E9C-101B-9397-08002B2CF9AE}" pid="3" name="ICV">
    <vt:lpwstr>0211F5E582114078AA281ABEEAD7BD6D</vt:lpwstr>
  </property>
</Properties>
</file>